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FBE44" w14:textId="53291504" w:rsidR="00945471" w:rsidRDefault="00945471" w:rsidP="00FA39CB">
      <w:pPr>
        <w:pStyle w:val="Title"/>
        <w:spacing w:before="60" w:after="60" w:line="274" w:lineRule="auto"/>
        <w:contextualSpacing w:val="0"/>
        <w:jc w:val="center"/>
        <w:rPr>
          <w:rFonts w:asciiTheme="minorHAnsi" w:eastAsia="Times New Roman" w:hAnsiTheme="minorHAnsi" w:cstheme="minorHAnsi"/>
          <w:b/>
          <w:bCs/>
          <w:color w:val="003865"/>
          <w:sz w:val="30"/>
          <w:szCs w:val="30"/>
          <w:lang w:val="en-US" w:eastAsia="fr-BE"/>
          <w14:ligatures w14:val="none"/>
        </w:rPr>
      </w:pPr>
    </w:p>
    <w:p w14:paraId="32170DB6" w14:textId="65D0AC95" w:rsidR="00494841" w:rsidRPr="00BB652F" w:rsidRDefault="00494841" w:rsidP="00FA39CB">
      <w:pPr>
        <w:pStyle w:val="Title"/>
        <w:spacing w:before="60" w:after="60" w:line="274" w:lineRule="auto"/>
        <w:contextualSpacing w:val="0"/>
        <w:jc w:val="center"/>
        <w:rPr>
          <w:rFonts w:asciiTheme="minorHAnsi" w:eastAsia="Times New Roman" w:hAnsiTheme="minorHAnsi" w:cstheme="minorHAnsi"/>
          <w:b/>
          <w:bCs/>
          <w:color w:val="003865"/>
          <w:sz w:val="30"/>
          <w:szCs w:val="30"/>
          <w:lang w:val="en-US" w:eastAsia="fr-BE"/>
          <w14:ligatures w14:val="none"/>
        </w:rPr>
      </w:pPr>
      <w:r w:rsidRPr="00BB652F">
        <w:rPr>
          <w:rFonts w:asciiTheme="minorHAnsi" w:eastAsia="Times New Roman" w:hAnsiTheme="minorHAnsi" w:cstheme="minorHAnsi"/>
          <w:b/>
          <w:bCs/>
          <w:color w:val="003865"/>
          <w:sz w:val="30"/>
          <w:szCs w:val="30"/>
          <w:lang w:val="en-US" w:eastAsia="fr-BE"/>
          <w14:ligatures w14:val="none"/>
        </w:rPr>
        <w:t>Position of the European Tyre Industry on Abrasion Limits Setting in view of Euro 7 Regulation implementation</w:t>
      </w:r>
    </w:p>
    <w:p w14:paraId="75F1E4A0" w14:textId="77777777" w:rsidR="00494841" w:rsidRDefault="00494841" w:rsidP="00FA39CB">
      <w:pPr>
        <w:spacing w:before="60" w:after="60" w:line="274" w:lineRule="auto"/>
        <w:rPr>
          <w:b/>
          <w:bCs/>
          <w:sz w:val="22"/>
          <w:szCs w:val="22"/>
        </w:rPr>
      </w:pPr>
    </w:p>
    <w:p w14:paraId="2907FB94" w14:textId="0A9282C7" w:rsidR="00E7059F" w:rsidRPr="00494841" w:rsidRDefault="00494841" w:rsidP="00FA39CB">
      <w:pPr>
        <w:shd w:val="clear" w:color="auto" w:fill="CAEDFB" w:themeFill="accent4" w:themeFillTint="33"/>
        <w:spacing w:before="60" w:after="60" w:line="274" w:lineRule="auto"/>
        <w:rPr>
          <w:b/>
          <w:bCs/>
          <w:sz w:val="22"/>
          <w:szCs w:val="22"/>
        </w:rPr>
      </w:pPr>
      <w:r w:rsidRPr="00494841">
        <w:rPr>
          <w:b/>
          <w:bCs/>
          <w:sz w:val="22"/>
          <w:szCs w:val="22"/>
        </w:rPr>
        <w:t>Tyre abrasion limits: position of th</w:t>
      </w:r>
      <w:r>
        <w:rPr>
          <w:b/>
          <w:bCs/>
          <w:sz w:val="22"/>
          <w:szCs w:val="22"/>
        </w:rPr>
        <w:t>e European Tyre Industry</w:t>
      </w:r>
    </w:p>
    <w:p w14:paraId="0AB387BB" w14:textId="77777777" w:rsidR="00630EC7" w:rsidRDefault="00630EC7" w:rsidP="00FA39CB">
      <w:pPr>
        <w:spacing w:before="60" w:after="60" w:line="274" w:lineRule="auto"/>
        <w:rPr>
          <w:sz w:val="22"/>
          <w:szCs w:val="22"/>
        </w:rPr>
      </w:pPr>
    </w:p>
    <w:p w14:paraId="669C91C1" w14:textId="258BAB53" w:rsidR="0098575F" w:rsidRDefault="00972440" w:rsidP="00FA39CB">
      <w:pPr>
        <w:spacing w:before="60" w:after="60" w:line="274" w:lineRule="auto"/>
        <w:rPr>
          <w:sz w:val="22"/>
          <w:szCs w:val="22"/>
        </w:rPr>
      </w:pPr>
      <w:r w:rsidRPr="00972440">
        <w:rPr>
          <w:sz w:val="22"/>
          <w:szCs w:val="22"/>
        </w:rPr>
        <w:t>The European tyre industry has consistently supported the introduction of performance requirements on tyre abrasion. To make this possible, it has provided both expertise and substantial resources for the rapid development of a new test method</w:t>
      </w:r>
      <w:r>
        <w:rPr>
          <w:sz w:val="22"/>
          <w:szCs w:val="22"/>
        </w:rPr>
        <w:t xml:space="preserve"> – supported by all tyre manufacturers</w:t>
      </w:r>
      <w:r w:rsidRPr="00972440">
        <w:rPr>
          <w:sz w:val="22"/>
          <w:szCs w:val="22"/>
        </w:rPr>
        <w:t xml:space="preserve">. </w:t>
      </w:r>
      <w:r w:rsidR="0068382E">
        <w:rPr>
          <w:sz w:val="22"/>
          <w:szCs w:val="22"/>
        </w:rPr>
        <w:t>The same manufacturers</w:t>
      </w:r>
      <w:r w:rsidRPr="00972440">
        <w:rPr>
          <w:sz w:val="22"/>
          <w:szCs w:val="22"/>
        </w:rPr>
        <w:t xml:space="preserve"> carried out a wide</w:t>
      </w:r>
      <w:r>
        <w:rPr>
          <w:rStyle w:val="FootnoteReference"/>
          <w:sz w:val="22"/>
          <w:szCs w:val="22"/>
        </w:rPr>
        <w:footnoteReference w:id="1"/>
      </w:r>
      <w:r w:rsidRPr="00972440">
        <w:rPr>
          <w:sz w:val="22"/>
          <w:szCs w:val="22"/>
        </w:rPr>
        <w:t xml:space="preserve"> and </w:t>
      </w:r>
      <w:r>
        <w:rPr>
          <w:sz w:val="22"/>
          <w:szCs w:val="22"/>
        </w:rPr>
        <w:t>resource-intensive</w:t>
      </w:r>
      <w:r w:rsidRPr="00972440">
        <w:rPr>
          <w:sz w:val="22"/>
          <w:szCs w:val="22"/>
        </w:rPr>
        <w:t xml:space="preserve"> market assessment—chosen over a more economical but slower monitoring process—</w:t>
      </w:r>
      <w:proofErr w:type="gramStart"/>
      <w:r w:rsidRPr="00972440">
        <w:rPr>
          <w:sz w:val="22"/>
          <w:szCs w:val="22"/>
        </w:rPr>
        <w:t>in order to</w:t>
      </w:r>
      <w:proofErr w:type="gramEnd"/>
      <w:r w:rsidRPr="00972440">
        <w:rPr>
          <w:sz w:val="22"/>
          <w:szCs w:val="22"/>
        </w:rPr>
        <w:t xml:space="preserve"> measure the market removal rates corresponding to the proposed limit</w:t>
      </w:r>
      <w:r w:rsidR="0098575F">
        <w:rPr>
          <w:sz w:val="22"/>
          <w:szCs w:val="22"/>
        </w:rPr>
        <w:t>.</w:t>
      </w:r>
    </w:p>
    <w:p w14:paraId="324B1749" w14:textId="7A3847DF" w:rsidR="00E7059F" w:rsidRDefault="0098575F" w:rsidP="00FA39CB">
      <w:pPr>
        <w:spacing w:before="60" w:after="60" w:line="274" w:lineRule="auto"/>
        <w:rPr>
          <w:sz w:val="22"/>
          <w:szCs w:val="22"/>
        </w:rPr>
      </w:pPr>
      <w:r>
        <w:rPr>
          <w:sz w:val="22"/>
          <w:szCs w:val="22"/>
        </w:rPr>
        <w:t>Further to this work, w</w:t>
      </w:r>
      <w:r w:rsidR="00E7059F" w:rsidRPr="00E7059F">
        <w:rPr>
          <w:sz w:val="22"/>
          <w:szCs w:val="22"/>
        </w:rPr>
        <w:t>e have put forward a</w:t>
      </w:r>
      <w:r w:rsidR="007A7FDE">
        <w:rPr>
          <w:sz w:val="22"/>
          <w:szCs w:val="22"/>
        </w:rPr>
        <w:t>n ambitious, yet technically feasible,</w:t>
      </w:r>
      <w:r w:rsidR="00E7059F" w:rsidRPr="00E7059F">
        <w:rPr>
          <w:sz w:val="22"/>
          <w:szCs w:val="22"/>
        </w:rPr>
        <w:t xml:space="preserve"> proposal</w:t>
      </w:r>
      <w:r w:rsidR="007A7FDE">
        <w:rPr>
          <w:sz w:val="22"/>
          <w:szCs w:val="22"/>
        </w:rPr>
        <w:t xml:space="preserve"> </w:t>
      </w:r>
      <w:r w:rsidR="00E85E2B">
        <w:rPr>
          <w:sz w:val="22"/>
          <w:szCs w:val="22"/>
        </w:rPr>
        <w:t xml:space="preserve">for tyre abrasion limits </w:t>
      </w:r>
      <w:r w:rsidR="007A7FDE">
        <w:rPr>
          <w:sz w:val="22"/>
          <w:szCs w:val="22"/>
        </w:rPr>
        <w:t>which provides</w:t>
      </w:r>
      <w:r w:rsidR="00E7059F" w:rsidRPr="00E7059F">
        <w:rPr>
          <w:sz w:val="22"/>
          <w:szCs w:val="22"/>
        </w:rPr>
        <w:t xml:space="preserve"> predictability for all </w:t>
      </w:r>
      <w:r w:rsidR="007A7FDE">
        <w:rPr>
          <w:sz w:val="22"/>
          <w:szCs w:val="22"/>
        </w:rPr>
        <w:t>stakeholders</w:t>
      </w:r>
      <w:r w:rsidR="00E7059F" w:rsidRPr="00E7059F">
        <w:rPr>
          <w:sz w:val="22"/>
          <w:szCs w:val="22"/>
        </w:rPr>
        <w:t>.</w:t>
      </w:r>
    </w:p>
    <w:p w14:paraId="590D01FE" w14:textId="0915E861" w:rsidR="00FC60A9" w:rsidRPr="004501C4" w:rsidRDefault="006C3A79" w:rsidP="00FA39CB">
      <w:pPr>
        <w:spacing w:before="60" w:after="60" w:line="274" w:lineRule="auto"/>
        <w:rPr>
          <w:sz w:val="22"/>
          <w:szCs w:val="22"/>
        </w:rPr>
      </w:pPr>
      <w:r>
        <w:rPr>
          <w:sz w:val="22"/>
          <w:szCs w:val="22"/>
        </w:rPr>
        <w:t>This</w:t>
      </w:r>
      <w:r w:rsidR="00FC60A9" w:rsidRPr="004501C4">
        <w:rPr>
          <w:sz w:val="22"/>
          <w:szCs w:val="22"/>
        </w:rPr>
        <w:t xml:space="preserve"> reflects the </w:t>
      </w:r>
      <w:r w:rsidR="00B65361">
        <w:rPr>
          <w:sz w:val="22"/>
          <w:szCs w:val="22"/>
        </w:rPr>
        <w:t>majority position</w:t>
      </w:r>
      <w:r>
        <w:rPr>
          <w:rStyle w:val="FootnoteReference"/>
          <w:sz w:val="22"/>
          <w:szCs w:val="22"/>
        </w:rPr>
        <w:footnoteReference w:id="2"/>
      </w:r>
      <w:r>
        <w:rPr>
          <w:sz w:val="22"/>
          <w:szCs w:val="22"/>
        </w:rPr>
        <w:t xml:space="preserve"> achieved after </w:t>
      </w:r>
      <w:r w:rsidR="00FC60A9" w:rsidRPr="004501C4">
        <w:rPr>
          <w:sz w:val="22"/>
          <w:szCs w:val="22"/>
        </w:rPr>
        <w:t>extensive and complex</w:t>
      </w:r>
      <w:r w:rsidR="007A7FDE">
        <w:rPr>
          <w:sz w:val="22"/>
          <w:szCs w:val="22"/>
        </w:rPr>
        <w:t xml:space="preserve"> discussions amongst tyre manufacturers and is the </w:t>
      </w:r>
      <w:r w:rsidR="00FC60A9" w:rsidRPr="004501C4">
        <w:rPr>
          <w:sz w:val="22"/>
          <w:szCs w:val="22"/>
        </w:rPr>
        <w:t>maximum level of ambition that can realistically be achieved: it will already require significant investment and adaptation, and place some m</w:t>
      </w:r>
      <w:r w:rsidR="007A7FDE">
        <w:rPr>
          <w:sz w:val="22"/>
          <w:szCs w:val="22"/>
        </w:rPr>
        <w:t>anufacturers</w:t>
      </w:r>
      <w:r w:rsidR="00FC60A9" w:rsidRPr="004501C4">
        <w:rPr>
          <w:sz w:val="22"/>
          <w:szCs w:val="22"/>
        </w:rPr>
        <w:t xml:space="preserve"> under considerable strain, it provides </w:t>
      </w:r>
      <w:r w:rsidR="00832F99">
        <w:rPr>
          <w:sz w:val="22"/>
          <w:szCs w:val="22"/>
        </w:rPr>
        <w:t>comprehensive,</w:t>
      </w:r>
      <w:r w:rsidR="0098575F">
        <w:rPr>
          <w:sz w:val="22"/>
          <w:szCs w:val="22"/>
        </w:rPr>
        <w:t xml:space="preserve"> </w:t>
      </w:r>
      <w:r w:rsidR="00FC60A9" w:rsidRPr="004501C4">
        <w:rPr>
          <w:sz w:val="22"/>
          <w:szCs w:val="22"/>
        </w:rPr>
        <w:t>workable</w:t>
      </w:r>
      <w:r w:rsidR="007A7FDE">
        <w:rPr>
          <w:sz w:val="22"/>
          <w:szCs w:val="22"/>
        </w:rPr>
        <w:t xml:space="preserve"> and ambitious</w:t>
      </w:r>
      <w:r w:rsidR="00FC60A9" w:rsidRPr="004501C4">
        <w:rPr>
          <w:sz w:val="22"/>
          <w:szCs w:val="22"/>
        </w:rPr>
        <w:t xml:space="preserve"> way forward.</w:t>
      </w:r>
    </w:p>
    <w:p w14:paraId="0848279E" w14:textId="3FEB5E91" w:rsidR="00E7059F" w:rsidRPr="004501C4" w:rsidRDefault="00E7059F" w:rsidP="00FA39CB">
      <w:pPr>
        <w:spacing w:before="60" w:after="60" w:line="274" w:lineRule="auto"/>
        <w:rPr>
          <w:sz w:val="22"/>
          <w:szCs w:val="22"/>
        </w:rPr>
      </w:pPr>
      <w:r w:rsidRPr="004501C4">
        <w:rPr>
          <w:sz w:val="22"/>
          <w:szCs w:val="22"/>
        </w:rPr>
        <w:t>This proposal needs to be</w:t>
      </w:r>
      <w:r w:rsidR="00832F99">
        <w:rPr>
          <w:sz w:val="22"/>
          <w:szCs w:val="22"/>
        </w:rPr>
        <w:t xml:space="preserve"> viewed </w:t>
      </w:r>
      <w:r w:rsidRPr="004501C4">
        <w:rPr>
          <w:sz w:val="22"/>
          <w:szCs w:val="22"/>
        </w:rPr>
        <w:t>as</w:t>
      </w:r>
      <w:r w:rsidR="276DBFC7" w:rsidRPr="2D31085E">
        <w:rPr>
          <w:sz w:val="22"/>
          <w:szCs w:val="22"/>
        </w:rPr>
        <w:t xml:space="preserve"> </w:t>
      </w:r>
      <w:r w:rsidR="276DBFC7" w:rsidRPr="69899EB1">
        <w:rPr>
          <w:sz w:val="22"/>
          <w:szCs w:val="22"/>
        </w:rPr>
        <w:t>a comprehensive</w:t>
      </w:r>
      <w:r w:rsidRPr="004501C4">
        <w:rPr>
          <w:sz w:val="22"/>
          <w:szCs w:val="22"/>
        </w:rPr>
        <w:t xml:space="preserve"> package, meaning that it </w:t>
      </w:r>
      <w:r w:rsidR="007A7FDE">
        <w:rPr>
          <w:sz w:val="22"/>
          <w:szCs w:val="22"/>
        </w:rPr>
        <w:t xml:space="preserve">is </w:t>
      </w:r>
      <w:r w:rsidRPr="004501C4">
        <w:rPr>
          <w:sz w:val="22"/>
          <w:szCs w:val="22"/>
        </w:rPr>
        <w:t xml:space="preserve">only </w:t>
      </w:r>
      <w:r w:rsidR="007A7FDE">
        <w:rPr>
          <w:sz w:val="22"/>
          <w:szCs w:val="22"/>
        </w:rPr>
        <w:t xml:space="preserve">feasible </w:t>
      </w:r>
      <w:r w:rsidRPr="004501C4">
        <w:rPr>
          <w:sz w:val="22"/>
          <w:szCs w:val="22"/>
        </w:rPr>
        <w:t>if all elements are</w:t>
      </w:r>
      <w:r w:rsidR="007A7FDE">
        <w:rPr>
          <w:sz w:val="22"/>
          <w:szCs w:val="22"/>
        </w:rPr>
        <w:t xml:space="preserve"> considered holistically</w:t>
      </w:r>
      <w:r w:rsidRPr="004501C4">
        <w:rPr>
          <w:sz w:val="22"/>
          <w:szCs w:val="22"/>
        </w:rPr>
        <w:t xml:space="preserve">. </w:t>
      </w:r>
    </w:p>
    <w:p w14:paraId="05C9200B" w14:textId="0C7FAA51" w:rsidR="00E7059F" w:rsidRDefault="00E7059F" w:rsidP="00FA39CB">
      <w:pPr>
        <w:spacing w:before="60" w:after="60" w:line="274" w:lineRule="auto"/>
        <w:rPr>
          <w:sz w:val="22"/>
          <w:szCs w:val="22"/>
        </w:rPr>
      </w:pPr>
      <w:r w:rsidRPr="00E7059F">
        <w:rPr>
          <w:sz w:val="22"/>
          <w:szCs w:val="22"/>
        </w:rPr>
        <w:t>The industry</w:t>
      </w:r>
      <w:r w:rsidR="003E585A">
        <w:rPr>
          <w:sz w:val="22"/>
          <w:szCs w:val="22"/>
        </w:rPr>
        <w:t xml:space="preserve"> proposes</w:t>
      </w:r>
      <w:r w:rsidRPr="00E7059F">
        <w:rPr>
          <w:sz w:val="22"/>
          <w:szCs w:val="22"/>
        </w:rPr>
        <w:t>:</w:t>
      </w:r>
    </w:p>
    <w:p w14:paraId="55CE099C" w14:textId="2F7720B5" w:rsidR="00B60356" w:rsidRPr="00E7059F" w:rsidRDefault="00697A74" w:rsidP="00FA39CB">
      <w:pPr>
        <w:spacing w:before="60" w:after="60" w:line="274" w:lineRule="auto"/>
        <w:rPr>
          <w:sz w:val="22"/>
          <w:szCs w:val="22"/>
        </w:rPr>
      </w:pPr>
      <w:r w:rsidRPr="00697A74">
        <w:rPr>
          <w:noProof/>
        </w:rPr>
        <w:lastRenderedPageBreak/>
        <w:drawing>
          <wp:inline distT="0" distB="0" distL="0" distR="0" wp14:anchorId="6560FAE5" wp14:editId="5842516B">
            <wp:extent cx="6537376" cy="2638425"/>
            <wp:effectExtent l="0" t="0" r="0" b="0"/>
            <wp:docPr id="18542563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2564" cy="2640519"/>
                    </a:xfrm>
                    <a:prstGeom prst="rect">
                      <a:avLst/>
                    </a:prstGeom>
                    <a:noFill/>
                    <a:ln>
                      <a:noFill/>
                    </a:ln>
                  </pic:spPr>
                </pic:pic>
              </a:graphicData>
            </a:graphic>
          </wp:inline>
        </w:drawing>
      </w:r>
    </w:p>
    <w:p w14:paraId="7F7ED58D" w14:textId="69674F00" w:rsidR="00080720" w:rsidRDefault="00080720">
      <w:pPr>
        <w:rPr>
          <w:b/>
          <w:bCs/>
          <w:sz w:val="22"/>
          <w:szCs w:val="22"/>
        </w:rPr>
      </w:pPr>
    </w:p>
    <w:p w14:paraId="0FDEF547" w14:textId="4AD8F013" w:rsidR="00E7059F" w:rsidRPr="00187CDB" w:rsidRDefault="00E7059F" w:rsidP="0091357A">
      <w:pPr>
        <w:numPr>
          <w:ilvl w:val="0"/>
          <w:numId w:val="1"/>
        </w:numPr>
        <w:tabs>
          <w:tab w:val="clear" w:pos="720"/>
          <w:tab w:val="left" w:pos="284"/>
        </w:tabs>
        <w:spacing w:before="60" w:after="60" w:line="274" w:lineRule="auto"/>
        <w:ind w:left="284" w:hanging="284"/>
        <w:rPr>
          <w:sz w:val="22"/>
          <w:szCs w:val="22"/>
        </w:rPr>
      </w:pPr>
      <w:r w:rsidRPr="00E7059F">
        <w:rPr>
          <w:b/>
          <w:bCs/>
          <w:sz w:val="22"/>
          <w:szCs w:val="22"/>
        </w:rPr>
        <w:t xml:space="preserve">Two </w:t>
      </w:r>
      <w:r w:rsidR="009D6930">
        <w:rPr>
          <w:b/>
          <w:bCs/>
          <w:sz w:val="22"/>
          <w:szCs w:val="22"/>
        </w:rPr>
        <w:t xml:space="preserve">implementation </w:t>
      </w:r>
      <w:r w:rsidRPr="00E7059F">
        <w:rPr>
          <w:b/>
          <w:bCs/>
          <w:sz w:val="22"/>
          <w:szCs w:val="22"/>
        </w:rPr>
        <w:t>stages</w:t>
      </w:r>
      <w:r w:rsidRPr="00E7059F">
        <w:rPr>
          <w:sz w:val="22"/>
          <w:szCs w:val="22"/>
        </w:rPr>
        <w:t xml:space="preserve">, with a </w:t>
      </w:r>
      <w:r w:rsidRPr="00E7059F">
        <w:rPr>
          <w:b/>
          <w:bCs/>
          <w:sz w:val="22"/>
          <w:szCs w:val="22"/>
        </w:rPr>
        <w:t>five-year interval</w:t>
      </w:r>
      <w:r w:rsidRPr="00E7059F">
        <w:rPr>
          <w:sz w:val="22"/>
          <w:szCs w:val="22"/>
        </w:rPr>
        <w:t xml:space="preserve"> </w:t>
      </w:r>
      <w:r w:rsidRPr="00187CDB">
        <w:rPr>
          <w:sz w:val="22"/>
          <w:szCs w:val="22"/>
        </w:rPr>
        <w:t>between them</w:t>
      </w:r>
      <w:r w:rsidR="00E85E2B" w:rsidRPr="00187CDB">
        <w:rPr>
          <w:sz w:val="22"/>
          <w:szCs w:val="22"/>
        </w:rPr>
        <w:t xml:space="preserve">, coherently with the tyre technical development cycle as also addressed by other </w:t>
      </w:r>
      <w:r w:rsidR="00D54942" w:rsidRPr="00187CDB">
        <w:rPr>
          <w:sz w:val="22"/>
          <w:szCs w:val="22"/>
        </w:rPr>
        <w:t xml:space="preserve">tyre </w:t>
      </w:r>
      <w:proofErr w:type="gramStart"/>
      <w:r w:rsidR="00E85E2B" w:rsidRPr="00187CDB">
        <w:rPr>
          <w:sz w:val="22"/>
          <w:szCs w:val="22"/>
        </w:rPr>
        <w:t>Regulations</w:t>
      </w:r>
      <w:r w:rsidR="009D6930" w:rsidRPr="00187CDB">
        <w:rPr>
          <w:sz w:val="22"/>
          <w:szCs w:val="22"/>
        </w:rPr>
        <w:t>;</w:t>
      </w:r>
      <w:proofErr w:type="gramEnd"/>
    </w:p>
    <w:p w14:paraId="77746FDE" w14:textId="5D3A95F9" w:rsidR="00E7059F" w:rsidRPr="00187CDB" w:rsidRDefault="00E7059F" w:rsidP="0091357A">
      <w:pPr>
        <w:numPr>
          <w:ilvl w:val="0"/>
          <w:numId w:val="1"/>
        </w:numPr>
        <w:tabs>
          <w:tab w:val="clear" w:pos="720"/>
          <w:tab w:val="left" w:pos="284"/>
        </w:tabs>
        <w:spacing w:before="60" w:after="60" w:line="274" w:lineRule="auto"/>
        <w:ind w:left="284" w:hanging="284"/>
        <w:rPr>
          <w:sz w:val="22"/>
          <w:szCs w:val="22"/>
        </w:rPr>
      </w:pPr>
      <w:r w:rsidRPr="00187CDB">
        <w:rPr>
          <w:b/>
          <w:bCs/>
          <w:sz w:val="22"/>
          <w:szCs w:val="22"/>
        </w:rPr>
        <w:t>Removal rates of 23% in Stage 1 and 36.5% in Stage 2</w:t>
      </w:r>
      <w:r w:rsidRPr="00187CDB">
        <w:rPr>
          <w:sz w:val="22"/>
          <w:szCs w:val="22"/>
        </w:rPr>
        <w:t>, in line with or above the first steps of previous tyre performance regulations (</w:t>
      </w:r>
      <w:proofErr w:type="spellStart"/>
      <w:r w:rsidRPr="00187CDB">
        <w:rPr>
          <w:sz w:val="22"/>
          <w:szCs w:val="22"/>
        </w:rPr>
        <w:t>ie</w:t>
      </w:r>
      <w:proofErr w:type="spellEnd"/>
      <w:r w:rsidRPr="00187CDB">
        <w:rPr>
          <w:sz w:val="22"/>
          <w:szCs w:val="22"/>
        </w:rPr>
        <w:t>. Rolling resistance and wet grip).</w:t>
      </w:r>
      <w:r w:rsidR="006D798C" w:rsidRPr="00187CDB">
        <w:rPr>
          <w:sz w:val="22"/>
          <w:szCs w:val="22"/>
        </w:rPr>
        <w:t xml:space="preserve"> Whilst the </w:t>
      </w:r>
      <w:r w:rsidR="006D798C" w:rsidRPr="00187CDB">
        <w:rPr>
          <w:b/>
          <w:bCs/>
          <w:sz w:val="22"/>
          <w:szCs w:val="22"/>
        </w:rPr>
        <w:t>difference</w:t>
      </w:r>
      <w:r w:rsidR="006D798C" w:rsidRPr="00187CDB">
        <w:rPr>
          <w:sz w:val="22"/>
          <w:szCs w:val="22"/>
        </w:rPr>
        <w:t xml:space="preserve"> with the removal rates proposed by the co-chairs is 9 percentage points for Stage 1 and 7.5 percentage points for Stage 2, the </w:t>
      </w:r>
      <w:r w:rsidR="005D13D4" w:rsidRPr="00187CDB">
        <w:rPr>
          <w:sz w:val="22"/>
          <w:szCs w:val="22"/>
        </w:rPr>
        <w:t xml:space="preserve">resulting </w:t>
      </w:r>
      <w:r w:rsidR="006D798C" w:rsidRPr="00187CDB">
        <w:rPr>
          <w:sz w:val="22"/>
          <w:szCs w:val="22"/>
        </w:rPr>
        <w:t>impact on overall emission reduction is much smaller—only about three percentage points in Stage 1 and two percentage points in Stage 2</w:t>
      </w:r>
      <w:r w:rsidR="005D13D4" w:rsidRPr="00187CDB">
        <w:rPr>
          <w:sz w:val="22"/>
          <w:szCs w:val="22"/>
        </w:rPr>
        <w:t>.</w:t>
      </w:r>
      <w:r w:rsidR="006C29F1" w:rsidRPr="00187CDB">
        <w:rPr>
          <w:sz w:val="22"/>
          <w:szCs w:val="22"/>
        </w:rPr>
        <w:t xml:space="preserve"> </w:t>
      </w:r>
      <w:r w:rsidR="00B36C1F" w:rsidRPr="00B36C1F">
        <w:rPr>
          <w:sz w:val="22"/>
          <w:szCs w:val="22"/>
        </w:rPr>
        <w:t>The removal rates proposed by the co-chairs would place a considerable burden on the industry, while the additional environmental benefit compared to the industry proposal would remain modest</w:t>
      </w:r>
      <w:r w:rsidR="006D798C" w:rsidRPr="00187CDB">
        <w:rPr>
          <w:sz w:val="22"/>
          <w:szCs w:val="22"/>
        </w:rPr>
        <w:t>.</w:t>
      </w:r>
    </w:p>
    <w:p w14:paraId="48F49800" w14:textId="359F296B" w:rsidR="00E7059F" w:rsidRDefault="00E7059F" w:rsidP="0091357A">
      <w:pPr>
        <w:numPr>
          <w:ilvl w:val="0"/>
          <w:numId w:val="1"/>
        </w:numPr>
        <w:tabs>
          <w:tab w:val="clear" w:pos="720"/>
          <w:tab w:val="left" w:pos="284"/>
        </w:tabs>
        <w:spacing w:before="60" w:after="60" w:line="274" w:lineRule="auto"/>
        <w:ind w:left="284" w:hanging="284"/>
        <w:rPr>
          <w:sz w:val="22"/>
          <w:szCs w:val="22"/>
        </w:rPr>
      </w:pPr>
      <w:r w:rsidRPr="00187CDB">
        <w:rPr>
          <w:b/>
          <w:bCs/>
          <w:sz w:val="22"/>
          <w:szCs w:val="22"/>
        </w:rPr>
        <w:t>Allowances maintained across both stages</w:t>
      </w:r>
      <w:r w:rsidR="006D798C" w:rsidRPr="00187CDB">
        <w:rPr>
          <w:b/>
          <w:bCs/>
          <w:sz w:val="22"/>
          <w:szCs w:val="22"/>
        </w:rPr>
        <w:t>:</w:t>
      </w:r>
      <w:r w:rsidR="006D798C" w:rsidRPr="00187CDB">
        <w:rPr>
          <w:sz w:val="22"/>
          <w:szCs w:val="22"/>
        </w:rPr>
        <w:t xml:space="preserve"> </w:t>
      </w:r>
      <w:r w:rsidR="00A27F53" w:rsidRPr="00187CDB">
        <w:rPr>
          <w:sz w:val="22"/>
          <w:szCs w:val="22"/>
        </w:rPr>
        <w:t>a</w:t>
      </w:r>
      <w:r w:rsidR="006D798C" w:rsidRPr="00187CDB">
        <w:rPr>
          <w:sz w:val="22"/>
          <w:szCs w:val="22"/>
        </w:rPr>
        <w:t>llowances are added to the threshold limits to reflect the properties of tyres</w:t>
      </w:r>
      <w:r w:rsidR="006C29F1" w:rsidRPr="00187CDB">
        <w:rPr>
          <w:sz w:val="22"/>
          <w:szCs w:val="22"/>
        </w:rPr>
        <w:t xml:space="preserve"> developed</w:t>
      </w:r>
      <w:r w:rsidR="006C29F1">
        <w:rPr>
          <w:sz w:val="22"/>
          <w:szCs w:val="22"/>
        </w:rPr>
        <w:t xml:space="preserve"> for specific purposes</w:t>
      </w:r>
      <w:r w:rsidR="006D798C" w:rsidRPr="006D798C">
        <w:rPr>
          <w:sz w:val="22"/>
          <w:szCs w:val="22"/>
        </w:rPr>
        <w:t>. These tyres—because of the way they are designed and the need to satisfy other performance requirements—do not behave like standard tyres for which the test method was built. Such allowances must therefore be reflected in both stages and integrated in the main text, to ensure clarity and legal certainty</w:t>
      </w:r>
      <w:r w:rsidR="006C29F1">
        <w:rPr>
          <w:sz w:val="22"/>
          <w:szCs w:val="22"/>
        </w:rPr>
        <w:t xml:space="preserve"> over time</w:t>
      </w:r>
      <w:r w:rsidR="006D798C" w:rsidRPr="006D798C">
        <w:rPr>
          <w:sz w:val="22"/>
          <w:szCs w:val="22"/>
        </w:rPr>
        <w:t>. They derive from the physical properties of tyres and are inherent to the performances regulated, as well as to the characteristics of the tyre categories concerned</w:t>
      </w:r>
      <w:r w:rsidRPr="00E7059F">
        <w:rPr>
          <w:sz w:val="22"/>
          <w:szCs w:val="22"/>
        </w:rPr>
        <w:t>.</w:t>
      </w:r>
    </w:p>
    <w:p w14:paraId="52A5903C" w14:textId="0D13263F" w:rsidR="00E55416" w:rsidRPr="00BB652F" w:rsidRDefault="00846C04" w:rsidP="0091357A">
      <w:pPr>
        <w:numPr>
          <w:ilvl w:val="0"/>
          <w:numId w:val="1"/>
        </w:numPr>
        <w:tabs>
          <w:tab w:val="clear" w:pos="720"/>
          <w:tab w:val="left" w:pos="284"/>
        </w:tabs>
        <w:spacing w:before="60" w:after="60" w:line="274" w:lineRule="auto"/>
        <w:ind w:left="284" w:hanging="284"/>
        <w:rPr>
          <w:b/>
          <w:bCs/>
          <w:sz w:val="22"/>
          <w:szCs w:val="22"/>
        </w:rPr>
      </w:pPr>
      <w:r w:rsidRPr="00BB652F">
        <w:rPr>
          <w:b/>
          <w:bCs/>
          <w:sz w:val="22"/>
          <w:szCs w:val="22"/>
        </w:rPr>
        <w:t>Inclusion of 2 methods for assessment against abrasion performance limits</w:t>
      </w:r>
      <w:r w:rsidR="00374970" w:rsidRPr="00BB652F">
        <w:rPr>
          <w:b/>
          <w:bCs/>
          <w:sz w:val="22"/>
          <w:szCs w:val="22"/>
        </w:rPr>
        <w:t xml:space="preserve">: </w:t>
      </w:r>
      <w:r w:rsidR="008A6CDD" w:rsidRPr="00BB652F">
        <w:rPr>
          <w:sz w:val="22"/>
          <w:szCs w:val="22"/>
        </w:rPr>
        <w:t xml:space="preserve">The </w:t>
      </w:r>
      <w:r w:rsidR="00384600" w:rsidRPr="00BB652F">
        <w:rPr>
          <w:sz w:val="22"/>
          <w:szCs w:val="22"/>
        </w:rPr>
        <w:t xml:space="preserve">market </w:t>
      </w:r>
      <w:r w:rsidR="00CF1BCF" w:rsidRPr="00BB652F">
        <w:rPr>
          <w:sz w:val="22"/>
          <w:szCs w:val="22"/>
        </w:rPr>
        <w:t>assessment performed in 2024 on open road vehicle and indoor drum</w:t>
      </w:r>
      <w:r w:rsidR="002F34A3" w:rsidRPr="00BB652F">
        <w:rPr>
          <w:sz w:val="22"/>
          <w:szCs w:val="22"/>
        </w:rPr>
        <w:t xml:space="preserve"> methods</w:t>
      </w:r>
      <w:r w:rsidR="00CF1BCF" w:rsidRPr="00BB652F">
        <w:rPr>
          <w:sz w:val="22"/>
          <w:szCs w:val="22"/>
        </w:rPr>
        <w:t xml:space="preserve"> has shown that the correlation </w:t>
      </w:r>
      <w:r w:rsidR="00F458F3" w:rsidRPr="00BB652F">
        <w:rPr>
          <w:sz w:val="22"/>
          <w:szCs w:val="22"/>
        </w:rPr>
        <w:t xml:space="preserve">between the 2 methods is </w:t>
      </w:r>
      <w:r w:rsidR="00B61F95" w:rsidRPr="00BB652F">
        <w:rPr>
          <w:sz w:val="22"/>
          <w:szCs w:val="22"/>
        </w:rPr>
        <w:t xml:space="preserve">currently </w:t>
      </w:r>
      <w:r w:rsidR="00F458F3" w:rsidRPr="00BB652F">
        <w:rPr>
          <w:sz w:val="22"/>
          <w:szCs w:val="22"/>
        </w:rPr>
        <w:t xml:space="preserve">not sufficient and would require additional </w:t>
      </w:r>
      <w:r w:rsidR="005E7EC5" w:rsidRPr="00BB652F">
        <w:rPr>
          <w:sz w:val="22"/>
          <w:szCs w:val="22"/>
        </w:rPr>
        <w:t>work. Our preferred option would have been t</w:t>
      </w:r>
      <w:r w:rsidR="00B20DA7" w:rsidRPr="00BB652F">
        <w:rPr>
          <w:sz w:val="22"/>
          <w:szCs w:val="22"/>
        </w:rPr>
        <w:t xml:space="preserve">hat </w:t>
      </w:r>
      <w:r w:rsidR="002F34A3" w:rsidRPr="00BB652F">
        <w:rPr>
          <w:sz w:val="22"/>
          <w:szCs w:val="22"/>
        </w:rPr>
        <w:t>from</w:t>
      </w:r>
      <w:r w:rsidR="00B20DA7" w:rsidRPr="00BB652F">
        <w:rPr>
          <w:sz w:val="22"/>
          <w:szCs w:val="22"/>
        </w:rPr>
        <w:t xml:space="preserve"> the beginning the </w:t>
      </w:r>
      <w:proofErr w:type="gramStart"/>
      <w:r w:rsidR="00B20DA7" w:rsidRPr="00BB652F">
        <w:rPr>
          <w:sz w:val="22"/>
          <w:szCs w:val="22"/>
        </w:rPr>
        <w:t>type</w:t>
      </w:r>
      <w:proofErr w:type="gramEnd"/>
      <w:r w:rsidR="00B20DA7" w:rsidRPr="00BB652F">
        <w:rPr>
          <w:sz w:val="22"/>
          <w:szCs w:val="22"/>
        </w:rPr>
        <w:t xml:space="preserve"> approval </w:t>
      </w:r>
      <w:r w:rsidR="00A71940" w:rsidRPr="00BB652F">
        <w:rPr>
          <w:sz w:val="22"/>
          <w:szCs w:val="22"/>
        </w:rPr>
        <w:t xml:space="preserve">should be made only with the open road vehicle method, and introducing the type approval with the drum method when correlation is </w:t>
      </w:r>
      <w:r w:rsidR="00E02D76" w:rsidRPr="00BB652F">
        <w:rPr>
          <w:sz w:val="22"/>
          <w:szCs w:val="22"/>
        </w:rPr>
        <w:t xml:space="preserve">demonstrated. As a compromise we propose to </w:t>
      </w:r>
      <w:r w:rsidR="00454119" w:rsidRPr="00BB652F">
        <w:rPr>
          <w:sz w:val="22"/>
          <w:szCs w:val="22"/>
        </w:rPr>
        <w:t xml:space="preserve">include a provision in the Regulation that the drum </w:t>
      </w:r>
      <w:r w:rsidR="00FD54CB" w:rsidRPr="00BB652F">
        <w:rPr>
          <w:sz w:val="22"/>
          <w:szCs w:val="22"/>
        </w:rPr>
        <w:t xml:space="preserve">method </w:t>
      </w:r>
      <w:r w:rsidR="008A14E5" w:rsidRPr="00BB652F">
        <w:rPr>
          <w:sz w:val="22"/>
          <w:szCs w:val="22"/>
        </w:rPr>
        <w:t xml:space="preserve">may </w:t>
      </w:r>
      <w:r w:rsidR="00FD54CB" w:rsidRPr="00BB652F">
        <w:rPr>
          <w:sz w:val="22"/>
          <w:szCs w:val="22"/>
        </w:rPr>
        <w:t xml:space="preserve">be used </w:t>
      </w:r>
      <w:r w:rsidR="008A14E5" w:rsidRPr="00BB652F">
        <w:rPr>
          <w:sz w:val="22"/>
          <w:szCs w:val="22"/>
        </w:rPr>
        <w:t xml:space="preserve">as alternative method </w:t>
      </w:r>
      <w:r w:rsidR="00FD54CB" w:rsidRPr="00BB652F">
        <w:rPr>
          <w:sz w:val="22"/>
          <w:szCs w:val="22"/>
        </w:rPr>
        <w:t xml:space="preserve">under the condition that the </w:t>
      </w:r>
      <w:r w:rsidR="001034E5" w:rsidRPr="00BB652F">
        <w:rPr>
          <w:sz w:val="22"/>
          <w:szCs w:val="22"/>
        </w:rPr>
        <w:t xml:space="preserve">equivalence to the open road vehicle method is demonstrated to the competent </w:t>
      </w:r>
      <w:r w:rsidR="004C5D0A" w:rsidRPr="00BB652F">
        <w:rPr>
          <w:sz w:val="22"/>
          <w:szCs w:val="22"/>
        </w:rPr>
        <w:t>Type Approval Authority.</w:t>
      </w:r>
    </w:p>
    <w:p w14:paraId="6A7817AE" w14:textId="36A43AB2" w:rsidR="00E7059F" w:rsidRDefault="00E7059F" w:rsidP="00FA39CB">
      <w:pPr>
        <w:spacing w:before="60" w:after="60" w:line="274" w:lineRule="auto"/>
        <w:rPr>
          <w:sz w:val="22"/>
          <w:szCs w:val="22"/>
        </w:rPr>
      </w:pPr>
      <w:r w:rsidRPr="00E7059F">
        <w:rPr>
          <w:sz w:val="22"/>
          <w:szCs w:val="22"/>
        </w:rPr>
        <w:t>This approach delivers significant reductions in tyre abrasion</w:t>
      </w:r>
      <w:r w:rsidR="009D6930">
        <w:rPr>
          <w:sz w:val="22"/>
          <w:szCs w:val="22"/>
        </w:rPr>
        <w:t xml:space="preserve">, supporting the EU’s microplastic emission reduction </w:t>
      </w:r>
      <w:r w:rsidR="00A27F53">
        <w:rPr>
          <w:sz w:val="22"/>
          <w:szCs w:val="22"/>
        </w:rPr>
        <w:t>ambition</w:t>
      </w:r>
      <w:r w:rsidR="009D6930">
        <w:rPr>
          <w:sz w:val="22"/>
          <w:szCs w:val="22"/>
        </w:rPr>
        <w:t>,</w:t>
      </w:r>
      <w:r w:rsidRPr="00E7059F">
        <w:rPr>
          <w:sz w:val="22"/>
          <w:szCs w:val="22"/>
        </w:rPr>
        <w:t xml:space="preserve"> whil</w:t>
      </w:r>
      <w:r w:rsidR="009D6930">
        <w:rPr>
          <w:sz w:val="22"/>
          <w:szCs w:val="22"/>
        </w:rPr>
        <w:t>st</w:t>
      </w:r>
      <w:r w:rsidRPr="00E7059F">
        <w:rPr>
          <w:sz w:val="22"/>
          <w:szCs w:val="22"/>
        </w:rPr>
        <w:t xml:space="preserve"> preserving the competitiveness of the European</w:t>
      </w:r>
      <w:r w:rsidR="009D6930">
        <w:rPr>
          <w:sz w:val="22"/>
          <w:szCs w:val="22"/>
        </w:rPr>
        <w:t xml:space="preserve"> manufacturing</w:t>
      </w:r>
      <w:r w:rsidRPr="00E7059F">
        <w:rPr>
          <w:sz w:val="22"/>
          <w:szCs w:val="22"/>
        </w:rPr>
        <w:t xml:space="preserve"> industry and maintaining the UN timeline for adoption.</w:t>
      </w:r>
    </w:p>
    <w:p w14:paraId="49844EB7" w14:textId="77777777" w:rsidR="00494841" w:rsidRPr="00E7059F" w:rsidRDefault="00494841" w:rsidP="00FA39CB">
      <w:pPr>
        <w:spacing w:before="60" w:after="60" w:line="274" w:lineRule="auto"/>
        <w:rPr>
          <w:sz w:val="22"/>
          <w:szCs w:val="22"/>
        </w:rPr>
      </w:pPr>
    </w:p>
    <w:p w14:paraId="2F238D28" w14:textId="3C1AF4D6" w:rsidR="00E7059F" w:rsidRPr="00E7059F" w:rsidRDefault="00E7059F" w:rsidP="00FA39CB">
      <w:pPr>
        <w:shd w:val="clear" w:color="auto" w:fill="CAEDFB" w:themeFill="accent4" w:themeFillTint="33"/>
        <w:spacing w:before="60" w:after="60" w:line="274" w:lineRule="auto"/>
        <w:rPr>
          <w:b/>
          <w:bCs/>
          <w:sz w:val="22"/>
          <w:szCs w:val="22"/>
        </w:rPr>
      </w:pPr>
      <w:r w:rsidRPr="00E7059F">
        <w:rPr>
          <w:b/>
          <w:bCs/>
          <w:sz w:val="22"/>
          <w:szCs w:val="22"/>
        </w:rPr>
        <w:t>Context: State of the Industry</w:t>
      </w:r>
    </w:p>
    <w:p w14:paraId="01EAFC9F" w14:textId="77777777" w:rsidR="00E7059F" w:rsidRPr="00E7059F" w:rsidRDefault="00E7059F" w:rsidP="00FA39CB">
      <w:pPr>
        <w:spacing w:before="60" w:after="60" w:line="274" w:lineRule="auto"/>
        <w:rPr>
          <w:sz w:val="22"/>
          <w:szCs w:val="22"/>
        </w:rPr>
      </w:pPr>
      <w:r w:rsidRPr="00E7059F">
        <w:rPr>
          <w:sz w:val="22"/>
          <w:szCs w:val="22"/>
        </w:rPr>
        <w:t>The tyre industry in Europe is undergoing a profound transformation while facing unprecedented challenges:</w:t>
      </w:r>
    </w:p>
    <w:p w14:paraId="2EE9FF02" w14:textId="77777777" w:rsidR="00E7059F" w:rsidRPr="00187CDB" w:rsidRDefault="00E7059F" w:rsidP="00BB652F">
      <w:pPr>
        <w:numPr>
          <w:ilvl w:val="0"/>
          <w:numId w:val="2"/>
        </w:numPr>
        <w:tabs>
          <w:tab w:val="clear" w:pos="720"/>
        </w:tabs>
        <w:spacing w:before="60" w:after="60" w:line="274" w:lineRule="auto"/>
        <w:ind w:left="284" w:hanging="284"/>
        <w:rPr>
          <w:sz w:val="22"/>
          <w:szCs w:val="22"/>
        </w:rPr>
      </w:pPr>
      <w:r w:rsidRPr="00E7059F">
        <w:rPr>
          <w:sz w:val="22"/>
          <w:szCs w:val="22"/>
        </w:rPr>
        <w:t xml:space="preserve">Production costs are significantly higher than in other regions (around </w:t>
      </w:r>
      <w:r w:rsidRPr="00E7059F">
        <w:rPr>
          <w:b/>
          <w:bCs/>
          <w:sz w:val="22"/>
          <w:szCs w:val="22"/>
        </w:rPr>
        <w:t xml:space="preserve">double those in </w:t>
      </w:r>
      <w:r w:rsidRPr="00187CDB">
        <w:rPr>
          <w:b/>
          <w:bCs/>
          <w:sz w:val="22"/>
          <w:szCs w:val="22"/>
        </w:rPr>
        <w:t>Asia</w:t>
      </w:r>
      <w:r w:rsidRPr="00187CDB">
        <w:rPr>
          <w:sz w:val="22"/>
          <w:szCs w:val="22"/>
        </w:rPr>
        <w:t xml:space="preserve"> and </w:t>
      </w:r>
      <w:r w:rsidRPr="00187CDB">
        <w:rPr>
          <w:b/>
          <w:bCs/>
          <w:sz w:val="22"/>
          <w:szCs w:val="22"/>
        </w:rPr>
        <w:t>one-third more than in the US</w:t>
      </w:r>
      <w:r w:rsidRPr="00187CDB">
        <w:rPr>
          <w:sz w:val="22"/>
          <w:szCs w:val="22"/>
        </w:rPr>
        <w:t>).</w:t>
      </w:r>
    </w:p>
    <w:p w14:paraId="61E8BFC0" w14:textId="65F2C620" w:rsidR="00E7059F" w:rsidRPr="00187CDB" w:rsidRDefault="00E7059F" w:rsidP="00BB652F">
      <w:pPr>
        <w:numPr>
          <w:ilvl w:val="0"/>
          <w:numId w:val="2"/>
        </w:numPr>
        <w:tabs>
          <w:tab w:val="clear" w:pos="720"/>
        </w:tabs>
        <w:spacing w:before="60" w:after="60" w:line="274" w:lineRule="auto"/>
        <w:ind w:left="284" w:hanging="284"/>
        <w:rPr>
          <w:sz w:val="22"/>
          <w:szCs w:val="22"/>
        </w:rPr>
      </w:pPr>
      <w:r w:rsidRPr="00187CDB">
        <w:rPr>
          <w:sz w:val="22"/>
          <w:szCs w:val="22"/>
        </w:rPr>
        <w:t xml:space="preserve">A growing share of the European </w:t>
      </w:r>
      <w:r w:rsidR="00A27F53" w:rsidRPr="00187CDB">
        <w:rPr>
          <w:sz w:val="22"/>
          <w:szCs w:val="22"/>
        </w:rPr>
        <w:t xml:space="preserve">tyre </w:t>
      </w:r>
      <w:r w:rsidRPr="00187CDB">
        <w:rPr>
          <w:sz w:val="22"/>
          <w:szCs w:val="22"/>
        </w:rPr>
        <w:t>market is supplied by imports</w:t>
      </w:r>
      <w:r w:rsidR="00A27F53" w:rsidRPr="00187CDB">
        <w:rPr>
          <w:sz w:val="22"/>
          <w:szCs w:val="22"/>
        </w:rPr>
        <w:t xml:space="preserve">, with </w:t>
      </w:r>
      <w:r w:rsidR="00B45769" w:rsidRPr="00187CDB">
        <w:rPr>
          <w:sz w:val="22"/>
          <w:szCs w:val="22"/>
        </w:rPr>
        <w:t>EU-based production continuing losing ground year after year</w:t>
      </w:r>
      <w:r w:rsidRPr="00187CDB">
        <w:rPr>
          <w:sz w:val="22"/>
          <w:szCs w:val="22"/>
        </w:rPr>
        <w:t>.</w:t>
      </w:r>
    </w:p>
    <w:p w14:paraId="3911194B" w14:textId="77777777" w:rsidR="00E7059F" w:rsidRPr="00187CDB" w:rsidRDefault="00E7059F" w:rsidP="00BB652F">
      <w:pPr>
        <w:numPr>
          <w:ilvl w:val="0"/>
          <w:numId w:val="2"/>
        </w:numPr>
        <w:tabs>
          <w:tab w:val="clear" w:pos="720"/>
        </w:tabs>
        <w:spacing w:before="60" w:after="60" w:line="274" w:lineRule="auto"/>
        <w:ind w:left="284" w:hanging="284"/>
        <w:rPr>
          <w:sz w:val="22"/>
          <w:szCs w:val="22"/>
        </w:rPr>
      </w:pPr>
      <w:r w:rsidRPr="00187CDB">
        <w:rPr>
          <w:sz w:val="22"/>
          <w:szCs w:val="22"/>
        </w:rPr>
        <w:t>Several manufacturing sites in Europe have already closed, raising concerns for the long-term resilience of the sector.</w:t>
      </w:r>
    </w:p>
    <w:p w14:paraId="08627976" w14:textId="03819FA1" w:rsidR="006D7141" w:rsidRDefault="00B9427D" w:rsidP="00824D58">
      <w:pPr>
        <w:spacing w:before="60" w:after="60" w:line="274" w:lineRule="auto"/>
        <w:rPr>
          <w:sz w:val="22"/>
          <w:szCs w:val="22"/>
        </w:rPr>
      </w:pPr>
      <w:r w:rsidRPr="00B9427D">
        <w:rPr>
          <w:sz w:val="22"/>
          <w:szCs w:val="22"/>
        </w:rPr>
        <w:t xml:space="preserve">In this context, any new regulatory measure must </w:t>
      </w:r>
      <w:r>
        <w:rPr>
          <w:sz w:val="22"/>
          <w:szCs w:val="22"/>
        </w:rPr>
        <w:t>calibrate</w:t>
      </w:r>
      <w:r w:rsidRPr="00B9427D">
        <w:rPr>
          <w:sz w:val="22"/>
          <w:szCs w:val="22"/>
        </w:rPr>
        <w:t xml:space="preserve"> ambition, feasibility, and pace of implementation, </w:t>
      </w:r>
      <w:proofErr w:type="gramStart"/>
      <w:r w:rsidRPr="00B9427D">
        <w:rPr>
          <w:sz w:val="22"/>
          <w:szCs w:val="22"/>
        </w:rPr>
        <w:t>in order to</w:t>
      </w:r>
      <w:proofErr w:type="gramEnd"/>
      <w:r w:rsidRPr="00B9427D">
        <w:rPr>
          <w:sz w:val="22"/>
          <w:szCs w:val="22"/>
        </w:rPr>
        <w:t xml:space="preserve"> safeguard industrial sustainability and competitiveness</w:t>
      </w:r>
      <w:r>
        <w:rPr>
          <w:sz w:val="22"/>
          <w:szCs w:val="22"/>
        </w:rPr>
        <w:t xml:space="preserve">. </w:t>
      </w:r>
    </w:p>
    <w:p w14:paraId="4123E032" w14:textId="77777777" w:rsidR="007174E8" w:rsidRPr="00E7059F" w:rsidRDefault="007174E8" w:rsidP="00FA39CB">
      <w:pPr>
        <w:spacing w:before="60" w:after="60" w:line="274" w:lineRule="auto"/>
        <w:rPr>
          <w:sz w:val="22"/>
          <w:szCs w:val="22"/>
        </w:rPr>
      </w:pPr>
    </w:p>
    <w:p w14:paraId="32005DFA" w14:textId="3BA89216" w:rsidR="00E7059F" w:rsidRPr="00E7059F" w:rsidRDefault="00E7059F" w:rsidP="00FA39CB">
      <w:pPr>
        <w:shd w:val="clear" w:color="auto" w:fill="CAEDFB" w:themeFill="accent4" w:themeFillTint="33"/>
        <w:spacing w:before="60" w:after="60" w:line="274" w:lineRule="auto"/>
        <w:rPr>
          <w:b/>
          <w:bCs/>
          <w:sz w:val="22"/>
          <w:szCs w:val="22"/>
        </w:rPr>
      </w:pPr>
      <w:r w:rsidRPr="00E7059F">
        <w:rPr>
          <w:b/>
          <w:bCs/>
          <w:sz w:val="22"/>
          <w:szCs w:val="22"/>
        </w:rPr>
        <w:t>Why the Proposal Should Be Supported</w:t>
      </w:r>
      <w:r w:rsidR="00974EB5">
        <w:rPr>
          <w:b/>
          <w:bCs/>
          <w:sz w:val="22"/>
          <w:szCs w:val="22"/>
        </w:rPr>
        <w:t>?</w:t>
      </w:r>
    </w:p>
    <w:p w14:paraId="53221636" w14:textId="2B83959F" w:rsidR="00E7059F" w:rsidRPr="00E7059F" w:rsidRDefault="00E7059F" w:rsidP="00BB652F">
      <w:pPr>
        <w:numPr>
          <w:ilvl w:val="0"/>
          <w:numId w:val="4"/>
        </w:numPr>
        <w:tabs>
          <w:tab w:val="clear" w:pos="720"/>
          <w:tab w:val="num" w:pos="284"/>
        </w:tabs>
        <w:spacing w:before="60" w:after="60" w:line="274" w:lineRule="auto"/>
        <w:ind w:left="284" w:hanging="284"/>
        <w:rPr>
          <w:sz w:val="22"/>
          <w:szCs w:val="22"/>
        </w:rPr>
      </w:pPr>
      <w:r w:rsidRPr="00E7059F">
        <w:rPr>
          <w:b/>
          <w:bCs/>
          <w:sz w:val="22"/>
          <w:szCs w:val="22"/>
        </w:rPr>
        <w:t>Ambitious yet feasible</w:t>
      </w:r>
      <w:r w:rsidRPr="00E7059F">
        <w:rPr>
          <w:sz w:val="22"/>
          <w:szCs w:val="22"/>
        </w:rPr>
        <w:br/>
        <w:t xml:space="preserve">The </w:t>
      </w:r>
      <w:r w:rsidR="00D90D44">
        <w:rPr>
          <w:sz w:val="22"/>
          <w:szCs w:val="22"/>
        </w:rPr>
        <w:t xml:space="preserve">industry </w:t>
      </w:r>
      <w:r w:rsidRPr="00E7059F">
        <w:rPr>
          <w:sz w:val="22"/>
          <w:szCs w:val="22"/>
        </w:rPr>
        <w:t xml:space="preserve">proposed </w:t>
      </w:r>
      <w:r w:rsidR="00D90D44">
        <w:rPr>
          <w:sz w:val="22"/>
          <w:szCs w:val="22"/>
        </w:rPr>
        <w:t xml:space="preserve">abrasion limits are triggering </w:t>
      </w:r>
      <w:r w:rsidRPr="00E7059F">
        <w:rPr>
          <w:sz w:val="22"/>
          <w:szCs w:val="22"/>
        </w:rPr>
        <w:t>removal rates higher than those applied when</w:t>
      </w:r>
      <w:r w:rsidR="00A27F53">
        <w:rPr>
          <w:sz w:val="22"/>
          <w:szCs w:val="22"/>
        </w:rPr>
        <w:t xml:space="preserve"> other tyre performances, such as</w:t>
      </w:r>
      <w:r w:rsidRPr="00E7059F">
        <w:rPr>
          <w:sz w:val="22"/>
          <w:szCs w:val="22"/>
        </w:rPr>
        <w:t xml:space="preserve"> rolling resistance, wet grip or noise were first regulated. They represent a meaningful first step into regulating a completely new</w:t>
      </w:r>
      <w:r w:rsidR="00974EB5">
        <w:rPr>
          <w:sz w:val="22"/>
          <w:szCs w:val="22"/>
        </w:rPr>
        <w:t xml:space="preserve"> tyre</w:t>
      </w:r>
      <w:r w:rsidRPr="00E7059F">
        <w:rPr>
          <w:sz w:val="22"/>
          <w:szCs w:val="22"/>
        </w:rPr>
        <w:t xml:space="preserve"> performance.</w:t>
      </w:r>
    </w:p>
    <w:p w14:paraId="5DBB0004" w14:textId="3ED9720D" w:rsidR="00E7059F" w:rsidRPr="00E7059F" w:rsidRDefault="00E7059F" w:rsidP="00BB652F">
      <w:pPr>
        <w:numPr>
          <w:ilvl w:val="0"/>
          <w:numId w:val="4"/>
        </w:numPr>
        <w:tabs>
          <w:tab w:val="clear" w:pos="720"/>
          <w:tab w:val="num" w:pos="284"/>
        </w:tabs>
        <w:spacing w:before="60" w:after="60" w:line="274" w:lineRule="auto"/>
        <w:ind w:left="284" w:hanging="284"/>
        <w:rPr>
          <w:sz w:val="22"/>
          <w:szCs w:val="22"/>
        </w:rPr>
      </w:pPr>
      <w:r w:rsidRPr="00E7059F">
        <w:rPr>
          <w:b/>
          <w:bCs/>
          <w:sz w:val="22"/>
          <w:szCs w:val="22"/>
        </w:rPr>
        <w:t>Predictable structure</w:t>
      </w:r>
      <w:r w:rsidRPr="00E7059F">
        <w:rPr>
          <w:sz w:val="22"/>
          <w:szCs w:val="22"/>
        </w:rPr>
        <w:br/>
      </w:r>
      <w:r w:rsidRPr="004501C4">
        <w:rPr>
          <w:sz w:val="22"/>
          <w:szCs w:val="22"/>
        </w:rPr>
        <w:t>A five-year interval between stages reflects the reality of tyre and vehicle development cycles. It provides the necessary time for re-engineering, testing and industrial adaptation</w:t>
      </w:r>
      <w:r w:rsidR="00D90D44">
        <w:rPr>
          <w:sz w:val="22"/>
          <w:szCs w:val="22"/>
        </w:rPr>
        <w:t xml:space="preserve">, in line with all other UN tyre </w:t>
      </w:r>
      <w:proofErr w:type="gramStart"/>
      <w:r w:rsidR="00D90D44">
        <w:rPr>
          <w:sz w:val="22"/>
          <w:szCs w:val="22"/>
        </w:rPr>
        <w:t>Regulations</w:t>
      </w:r>
      <w:r w:rsidRPr="004501C4">
        <w:rPr>
          <w:sz w:val="22"/>
          <w:szCs w:val="22"/>
        </w:rPr>
        <w:t xml:space="preserve"> .</w:t>
      </w:r>
      <w:proofErr w:type="gramEnd"/>
    </w:p>
    <w:p w14:paraId="69FC7098" w14:textId="77777777" w:rsidR="00E7059F" w:rsidRPr="00E7059F" w:rsidRDefault="00E7059F" w:rsidP="00BB652F">
      <w:pPr>
        <w:numPr>
          <w:ilvl w:val="0"/>
          <w:numId w:val="4"/>
        </w:numPr>
        <w:tabs>
          <w:tab w:val="clear" w:pos="720"/>
          <w:tab w:val="num" w:pos="284"/>
        </w:tabs>
        <w:spacing w:before="60" w:after="60" w:line="274" w:lineRule="auto"/>
        <w:ind w:left="284" w:hanging="284"/>
        <w:rPr>
          <w:sz w:val="22"/>
          <w:szCs w:val="22"/>
        </w:rPr>
      </w:pPr>
      <w:r w:rsidRPr="00E7059F">
        <w:rPr>
          <w:b/>
          <w:bCs/>
          <w:sz w:val="22"/>
          <w:szCs w:val="22"/>
        </w:rPr>
        <w:t>Technical consistency</w:t>
      </w:r>
      <w:r w:rsidRPr="00E7059F">
        <w:rPr>
          <w:sz w:val="22"/>
          <w:szCs w:val="22"/>
        </w:rPr>
        <w:br/>
        <w:t>The allowances reflect structural characteristics of certain tyre types. Maintaining them across both stages is essential to avoid unintended impacts on safety and mobility options for consumers.</w:t>
      </w:r>
    </w:p>
    <w:p w14:paraId="14785A94" w14:textId="4C903BCA" w:rsidR="00E7059F" w:rsidRDefault="00E7059F" w:rsidP="00BB652F">
      <w:pPr>
        <w:numPr>
          <w:ilvl w:val="0"/>
          <w:numId w:val="4"/>
        </w:numPr>
        <w:tabs>
          <w:tab w:val="clear" w:pos="720"/>
          <w:tab w:val="num" w:pos="284"/>
        </w:tabs>
        <w:spacing w:before="60" w:after="60" w:line="274" w:lineRule="auto"/>
        <w:ind w:left="284" w:hanging="284"/>
        <w:rPr>
          <w:sz w:val="22"/>
          <w:szCs w:val="22"/>
        </w:rPr>
      </w:pPr>
      <w:r w:rsidRPr="00E7059F">
        <w:rPr>
          <w:b/>
          <w:bCs/>
          <w:sz w:val="22"/>
          <w:szCs w:val="22"/>
        </w:rPr>
        <w:t>Safeguarding competitiveness</w:t>
      </w:r>
      <w:r w:rsidRPr="00E7059F">
        <w:rPr>
          <w:sz w:val="22"/>
          <w:szCs w:val="22"/>
        </w:rPr>
        <w:br/>
        <w:t xml:space="preserve">The industry proposal delivers </w:t>
      </w:r>
      <w:r w:rsidR="00417228">
        <w:rPr>
          <w:sz w:val="22"/>
          <w:szCs w:val="22"/>
        </w:rPr>
        <w:t xml:space="preserve">significant </w:t>
      </w:r>
      <w:r w:rsidRPr="00E7059F">
        <w:rPr>
          <w:sz w:val="22"/>
          <w:szCs w:val="22"/>
        </w:rPr>
        <w:t xml:space="preserve">environmental improvements </w:t>
      </w:r>
      <w:r w:rsidR="00417228" w:rsidRPr="00E7059F">
        <w:rPr>
          <w:sz w:val="22"/>
          <w:szCs w:val="22"/>
        </w:rPr>
        <w:t>with</w:t>
      </w:r>
      <w:r w:rsidR="00417228">
        <w:rPr>
          <w:sz w:val="22"/>
          <w:szCs w:val="22"/>
        </w:rPr>
        <w:t xml:space="preserve"> a coherent technology innovation roadmap that is both realistic and ambitious.</w:t>
      </w:r>
      <w:r w:rsidRPr="00E7059F">
        <w:rPr>
          <w:sz w:val="22"/>
          <w:szCs w:val="22"/>
        </w:rPr>
        <w:t xml:space="preserve"> This avoids widening the cost gap with non-EU producers and reduces the risk of further industrial decline in Europe.</w:t>
      </w:r>
    </w:p>
    <w:p w14:paraId="29CDAD3E" w14:textId="77777777" w:rsidR="00630EC7" w:rsidRPr="00E7059F" w:rsidRDefault="00630EC7" w:rsidP="00FA39CB">
      <w:pPr>
        <w:spacing w:before="60" w:after="60" w:line="274" w:lineRule="auto"/>
        <w:ind w:left="720"/>
        <w:rPr>
          <w:sz w:val="22"/>
          <w:szCs w:val="22"/>
        </w:rPr>
      </w:pPr>
    </w:p>
    <w:p w14:paraId="512A6F6A" w14:textId="1BC02695" w:rsidR="00FC60A9" w:rsidRPr="004501C4" w:rsidRDefault="00FC60A9" w:rsidP="00FA39CB">
      <w:pPr>
        <w:shd w:val="clear" w:color="auto" w:fill="CAEDFB" w:themeFill="accent4" w:themeFillTint="33"/>
        <w:spacing w:before="60" w:after="60" w:line="274" w:lineRule="auto"/>
        <w:rPr>
          <w:b/>
          <w:bCs/>
          <w:sz w:val="22"/>
          <w:szCs w:val="22"/>
        </w:rPr>
      </w:pPr>
      <w:r w:rsidRPr="004501C4">
        <w:rPr>
          <w:b/>
          <w:bCs/>
          <w:sz w:val="22"/>
          <w:szCs w:val="22"/>
        </w:rPr>
        <w:t>Possible impacts on the European Tyre Industry</w:t>
      </w:r>
    </w:p>
    <w:p w14:paraId="00A54B82" w14:textId="71E9E4F1" w:rsidR="00FC60A9" w:rsidRPr="004501C4" w:rsidRDefault="00417228" w:rsidP="00FA39CB">
      <w:pPr>
        <w:pStyle w:val="NormalWeb"/>
        <w:spacing w:before="60" w:beforeAutospacing="0" w:after="60" w:afterAutospacing="0" w:line="274" w:lineRule="auto"/>
        <w:rPr>
          <w:rFonts w:asciiTheme="minorHAnsi" w:hAnsiTheme="minorHAnsi"/>
          <w:sz w:val="22"/>
          <w:szCs w:val="22"/>
        </w:rPr>
      </w:pPr>
      <w:r>
        <w:rPr>
          <w:rFonts w:asciiTheme="minorHAnsi" w:hAnsiTheme="minorHAnsi"/>
          <w:sz w:val="22"/>
          <w:szCs w:val="22"/>
        </w:rPr>
        <w:t xml:space="preserve">In the absence of </w:t>
      </w:r>
      <w:r w:rsidR="00494841">
        <w:rPr>
          <w:rFonts w:asciiTheme="minorHAnsi" w:hAnsiTheme="minorHAnsi"/>
          <w:sz w:val="22"/>
          <w:szCs w:val="22"/>
        </w:rPr>
        <w:t xml:space="preserve">a complete impact assessment that also </w:t>
      </w:r>
      <w:proofErr w:type="gramStart"/>
      <w:r w:rsidR="00494841">
        <w:rPr>
          <w:rFonts w:asciiTheme="minorHAnsi" w:hAnsiTheme="minorHAnsi"/>
          <w:sz w:val="22"/>
          <w:szCs w:val="22"/>
        </w:rPr>
        <w:t>takes into account</w:t>
      </w:r>
      <w:proofErr w:type="gramEnd"/>
      <w:r w:rsidR="00494841">
        <w:rPr>
          <w:rFonts w:asciiTheme="minorHAnsi" w:hAnsiTheme="minorHAnsi"/>
          <w:sz w:val="22"/>
          <w:szCs w:val="22"/>
        </w:rPr>
        <w:t xml:space="preserve"> the effects on the competitiveness of the European tyre industry, we can only provide an estimation of what applying</w:t>
      </w:r>
      <w:r w:rsidR="00B9427D">
        <w:rPr>
          <w:rFonts w:asciiTheme="minorHAnsi" w:hAnsiTheme="minorHAnsi"/>
          <w:sz w:val="22"/>
          <w:szCs w:val="22"/>
        </w:rPr>
        <w:t xml:space="preserve"> more stringent abrasion limits</w:t>
      </w:r>
      <w:r w:rsidR="00494841">
        <w:rPr>
          <w:rFonts w:asciiTheme="minorHAnsi" w:hAnsiTheme="minorHAnsi"/>
          <w:sz w:val="22"/>
          <w:szCs w:val="22"/>
        </w:rPr>
        <w:t xml:space="preserve"> would entail.</w:t>
      </w:r>
    </w:p>
    <w:p w14:paraId="604E69BB" w14:textId="7FA3724E" w:rsidR="00FC60A9" w:rsidRPr="004501C4" w:rsidRDefault="00FC60A9" w:rsidP="00FA39CB">
      <w:pPr>
        <w:pStyle w:val="NormalWeb"/>
        <w:spacing w:before="60" w:beforeAutospacing="0" w:after="60" w:afterAutospacing="0" w:line="274" w:lineRule="auto"/>
        <w:rPr>
          <w:rFonts w:asciiTheme="minorHAnsi" w:hAnsiTheme="minorHAnsi"/>
          <w:sz w:val="22"/>
          <w:szCs w:val="22"/>
        </w:rPr>
      </w:pPr>
      <w:r w:rsidRPr="004501C4">
        <w:rPr>
          <w:rFonts w:asciiTheme="minorHAnsi" w:hAnsiTheme="minorHAnsi"/>
          <w:sz w:val="22"/>
          <w:szCs w:val="22"/>
        </w:rPr>
        <w:t>Based on industry experience, if the more stringent co-chairs’ proposal (32% removal</w:t>
      </w:r>
      <w:r w:rsidR="00974EB5">
        <w:rPr>
          <w:rFonts w:asciiTheme="minorHAnsi" w:hAnsiTheme="minorHAnsi"/>
          <w:sz w:val="22"/>
          <w:szCs w:val="22"/>
        </w:rPr>
        <w:t xml:space="preserve"> rate</w:t>
      </w:r>
      <w:r w:rsidRPr="004501C4">
        <w:rPr>
          <w:rFonts w:asciiTheme="minorHAnsi" w:hAnsiTheme="minorHAnsi"/>
          <w:sz w:val="22"/>
          <w:szCs w:val="22"/>
        </w:rPr>
        <w:t xml:space="preserve"> in Stage 1 and </w:t>
      </w:r>
      <w:r w:rsidR="00B9427D">
        <w:rPr>
          <w:rFonts w:asciiTheme="minorHAnsi" w:hAnsiTheme="minorHAnsi"/>
          <w:sz w:val="22"/>
          <w:szCs w:val="22"/>
        </w:rPr>
        <w:t>44</w:t>
      </w:r>
      <w:r w:rsidRPr="004501C4">
        <w:rPr>
          <w:rFonts w:asciiTheme="minorHAnsi" w:hAnsiTheme="minorHAnsi"/>
          <w:sz w:val="22"/>
          <w:szCs w:val="22"/>
        </w:rPr>
        <w:t>% in Stage 2) were adopted, the impact would be significant:</w:t>
      </w:r>
    </w:p>
    <w:p w14:paraId="3B3B0AEB" w14:textId="026A5410" w:rsidR="00FC60A9" w:rsidRPr="00187CDB" w:rsidRDefault="00FC60A9" w:rsidP="00756405">
      <w:pPr>
        <w:pStyle w:val="NormalWeb"/>
        <w:numPr>
          <w:ilvl w:val="0"/>
          <w:numId w:val="5"/>
        </w:numPr>
        <w:tabs>
          <w:tab w:val="clear" w:pos="720"/>
          <w:tab w:val="num" w:pos="284"/>
        </w:tabs>
        <w:spacing w:before="60" w:beforeAutospacing="0" w:after="60" w:afterAutospacing="0" w:line="274" w:lineRule="auto"/>
        <w:ind w:left="284" w:hanging="284"/>
        <w:rPr>
          <w:rFonts w:asciiTheme="minorHAnsi" w:hAnsiTheme="minorHAnsi"/>
          <w:sz w:val="22"/>
          <w:szCs w:val="22"/>
        </w:rPr>
      </w:pPr>
      <w:r w:rsidRPr="00187CDB">
        <w:rPr>
          <w:rStyle w:val="Strong"/>
          <w:rFonts w:asciiTheme="minorHAnsi" w:eastAsiaTheme="majorEastAsia" w:hAnsiTheme="minorHAnsi"/>
          <w:sz w:val="22"/>
          <w:szCs w:val="22"/>
        </w:rPr>
        <w:t>Higher removal rates</w:t>
      </w:r>
      <w:r w:rsidRPr="00187CDB">
        <w:rPr>
          <w:rFonts w:asciiTheme="minorHAnsi" w:hAnsiTheme="minorHAnsi"/>
          <w:sz w:val="22"/>
          <w:szCs w:val="22"/>
        </w:rPr>
        <w:t xml:space="preserve"> would mean that</w:t>
      </w:r>
      <w:r w:rsidR="00B9427D" w:rsidRPr="00187CDB">
        <w:rPr>
          <w:rFonts w:asciiTheme="minorHAnsi" w:hAnsiTheme="minorHAnsi"/>
          <w:sz w:val="22"/>
          <w:szCs w:val="22"/>
        </w:rPr>
        <w:t xml:space="preserve"> almost</w:t>
      </w:r>
      <w:r w:rsidRPr="00187CDB">
        <w:rPr>
          <w:rFonts w:asciiTheme="minorHAnsi" w:hAnsiTheme="minorHAnsi"/>
          <w:sz w:val="22"/>
          <w:szCs w:val="22"/>
        </w:rPr>
        <w:t xml:space="preserve"> </w:t>
      </w:r>
      <w:r w:rsidRPr="00187CDB">
        <w:rPr>
          <w:rStyle w:val="Strong"/>
          <w:rFonts w:asciiTheme="minorHAnsi" w:eastAsiaTheme="majorEastAsia" w:hAnsiTheme="minorHAnsi"/>
          <w:sz w:val="22"/>
          <w:szCs w:val="22"/>
        </w:rPr>
        <w:t>one in two tyres</w:t>
      </w:r>
      <w:r w:rsidRPr="00187CDB">
        <w:rPr>
          <w:rFonts w:asciiTheme="minorHAnsi" w:hAnsiTheme="minorHAnsi"/>
          <w:sz w:val="22"/>
          <w:szCs w:val="22"/>
        </w:rPr>
        <w:t xml:space="preserve"> currently on the market would need to be redesigned or withdrawn by Stage 2.</w:t>
      </w:r>
      <w:r w:rsidR="00417228" w:rsidRPr="00187CDB">
        <w:rPr>
          <w:rFonts w:asciiTheme="minorHAnsi" w:hAnsiTheme="minorHAnsi"/>
          <w:sz w:val="22"/>
          <w:szCs w:val="22"/>
        </w:rPr>
        <w:t xml:space="preserve"> This can be even more evident for certain tyre application, e.g. winter, with unpredictable consequences for products availability and impact on road safety </w:t>
      </w:r>
    </w:p>
    <w:p w14:paraId="6D9BC736" w14:textId="0D8B5CAB" w:rsidR="00386C21" w:rsidRDefault="00FC60A9" w:rsidP="00756405">
      <w:pPr>
        <w:pStyle w:val="NormalWeb"/>
        <w:numPr>
          <w:ilvl w:val="0"/>
          <w:numId w:val="5"/>
        </w:numPr>
        <w:tabs>
          <w:tab w:val="clear" w:pos="720"/>
          <w:tab w:val="num" w:pos="284"/>
        </w:tabs>
        <w:spacing w:before="60" w:beforeAutospacing="0" w:after="60" w:afterAutospacing="0" w:line="274" w:lineRule="auto"/>
        <w:ind w:left="284" w:hanging="284"/>
        <w:rPr>
          <w:rFonts w:asciiTheme="minorHAnsi" w:hAnsiTheme="minorHAnsi"/>
          <w:sz w:val="22"/>
          <w:szCs w:val="22"/>
        </w:rPr>
      </w:pPr>
      <w:r w:rsidRPr="00187CDB">
        <w:rPr>
          <w:rStyle w:val="Strong"/>
          <w:rFonts w:asciiTheme="minorHAnsi" w:eastAsiaTheme="majorEastAsia" w:hAnsiTheme="minorHAnsi"/>
          <w:sz w:val="22"/>
          <w:szCs w:val="22"/>
        </w:rPr>
        <w:lastRenderedPageBreak/>
        <w:t>Re-engineering costs</w:t>
      </w:r>
      <w:r w:rsidRPr="00187CDB">
        <w:rPr>
          <w:rFonts w:asciiTheme="minorHAnsi" w:hAnsiTheme="minorHAnsi"/>
          <w:sz w:val="22"/>
          <w:szCs w:val="22"/>
        </w:rPr>
        <w:t xml:space="preserve"> would rise sharply, especially</w:t>
      </w:r>
      <w:r w:rsidRPr="004501C4">
        <w:rPr>
          <w:rFonts w:asciiTheme="minorHAnsi" w:hAnsiTheme="minorHAnsi"/>
          <w:sz w:val="22"/>
          <w:szCs w:val="22"/>
        </w:rPr>
        <w:t xml:space="preserve"> for </w:t>
      </w:r>
      <w:r w:rsidR="00974EB5">
        <w:rPr>
          <w:rFonts w:asciiTheme="minorHAnsi" w:hAnsiTheme="minorHAnsi"/>
          <w:sz w:val="22"/>
          <w:szCs w:val="22"/>
        </w:rPr>
        <w:t>the Original Equipment (OE) market segment</w:t>
      </w:r>
      <w:r w:rsidRPr="004501C4">
        <w:rPr>
          <w:rFonts w:asciiTheme="minorHAnsi" w:hAnsiTheme="minorHAnsi"/>
          <w:sz w:val="22"/>
          <w:szCs w:val="22"/>
        </w:rPr>
        <w:t xml:space="preserve">, where redesign cycles are longer and more complex. Costs for </w:t>
      </w:r>
      <w:r w:rsidR="00417228">
        <w:rPr>
          <w:rFonts w:asciiTheme="minorHAnsi" w:hAnsiTheme="minorHAnsi"/>
          <w:sz w:val="22"/>
          <w:szCs w:val="22"/>
        </w:rPr>
        <w:t xml:space="preserve">designing </w:t>
      </w:r>
      <w:r w:rsidRPr="004501C4">
        <w:rPr>
          <w:rFonts w:asciiTheme="minorHAnsi" w:hAnsiTheme="minorHAnsi"/>
          <w:sz w:val="22"/>
          <w:szCs w:val="22"/>
        </w:rPr>
        <w:t xml:space="preserve">OE tyres can be </w:t>
      </w:r>
      <w:r w:rsidR="004271DD">
        <w:rPr>
          <w:rFonts w:asciiTheme="minorHAnsi" w:hAnsiTheme="minorHAnsi"/>
          <w:sz w:val="22"/>
          <w:szCs w:val="22"/>
        </w:rPr>
        <w:t xml:space="preserve">more than </w:t>
      </w:r>
      <w:r w:rsidR="00A61ABE">
        <w:rPr>
          <w:rStyle w:val="Strong"/>
          <w:rFonts w:asciiTheme="minorHAnsi" w:eastAsiaTheme="majorEastAsia" w:hAnsiTheme="minorHAnsi"/>
          <w:sz w:val="22"/>
          <w:szCs w:val="22"/>
        </w:rPr>
        <w:t>ten times</w:t>
      </w:r>
      <w:r w:rsidRPr="004501C4">
        <w:rPr>
          <w:rStyle w:val="Strong"/>
          <w:rFonts w:asciiTheme="minorHAnsi" w:eastAsiaTheme="majorEastAsia" w:hAnsiTheme="minorHAnsi"/>
          <w:sz w:val="22"/>
          <w:szCs w:val="22"/>
        </w:rPr>
        <w:t xml:space="preserve"> those of replacement tyres</w:t>
      </w:r>
      <w:r w:rsidRPr="004501C4">
        <w:rPr>
          <w:rFonts w:asciiTheme="minorHAnsi" w:hAnsiTheme="minorHAnsi"/>
          <w:sz w:val="22"/>
          <w:szCs w:val="22"/>
        </w:rPr>
        <w:t>, due to the need for vehicle-specific validation.</w:t>
      </w:r>
      <w:r w:rsidR="00494841">
        <w:rPr>
          <w:rFonts w:asciiTheme="minorHAnsi" w:hAnsiTheme="minorHAnsi"/>
          <w:sz w:val="22"/>
          <w:szCs w:val="22"/>
        </w:rPr>
        <w:t xml:space="preserve"> </w:t>
      </w:r>
      <w:r w:rsidR="00A45AD2">
        <w:rPr>
          <w:rFonts w:asciiTheme="minorHAnsi" w:hAnsiTheme="minorHAnsi"/>
          <w:sz w:val="22"/>
          <w:szCs w:val="22"/>
        </w:rPr>
        <w:t>OE tyres</w:t>
      </w:r>
      <w:r w:rsidR="00386C21">
        <w:rPr>
          <w:rFonts w:asciiTheme="minorHAnsi" w:hAnsiTheme="minorHAnsi"/>
          <w:sz w:val="22"/>
          <w:szCs w:val="22"/>
        </w:rPr>
        <w:t xml:space="preserve"> </w:t>
      </w:r>
      <w:proofErr w:type="gramStart"/>
      <w:r w:rsidR="00386C21">
        <w:rPr>
          <w:rFonts w:asciiTheme="minorHAnsi" w:hAnsiTheme="minorHAnsi"/>
          <w:sz w:val="22"/>
          <w:szCs w:val="22"/>
        </w:rPr>
        <w:t>have to</w:t>
      </w:r>
      <w:proofErr w:type="gramEnd"/>
      <w:r w:rsidR="00A45AD2">
        <w:rPr>
          <w:rFonts w:asciiTheme="minorHAnsi" w:hAnsiTheme="minorHAnsi"/>
          <w:sz w:val="22"/>
          <w:szCs w:val="22"/>
        </w:rPr>
        <w:t xml:space="preserve"> </w:t>
      </w:r>
      <w:r w:rsidR="00A45AD2" w:rsidRPr="00A45AD2">
        <w:rPr>
          <w:rFonts w:asciiTheme="minorHAnsi" w:hAnsiTheme="minorHAnsi"/>
          <w:sz w:val="22"/>
          <w:szCs w:val="22"/>
        </w:rPr>
        <w:t>meet unique, high-performance requirements, involving extensive testing and tuning for that specific vehicle model over a multi-year period</w:t>
      </w:r>
      <w:r w:rsidR="00386C21">
        <w:rPr>
          <w:rFonts w:asciiTheme="minorHAnsi" w:hAnsiTheme="minorHAnsi"/>
          <w:sz w:val="22"/>
          <w:szCs w:val="22"/>
        </w:rPr>
        <w:t>.</w:t>
      </w:r>
      <w:r w:rsidR="007330B9">
        <w:rPr>
          <w:rFonts w:asciiTheme="minorHAnsi" w:hAnsiTheme="minorHAnsi"/>
          <w:sz w:val="22"/>
          <w:szCs w:val="22"/>
        </w:rPr>
        <w:t xml:space="preserve"> </w:t>
      </w:r>
    </w:p>
    <w:p w14:paraId="631EB276" w14:textId="1B118C6B" w:rsidR="00FC60A9" w:rsidRPr="004501C4" w:rsidRDefault="00756405" w:rsidP="00756405">
      <w:pPr>
        <w:pStyle w:val="NormalWeb"/>
        <w:tabs>
          <w:tab w:val="num" w:pos="284"/>
        </w:tabs>
        <w:spacing w:before="60" w:beforeAutospacing="0" w:after="60" w:afterAutospacing="0" w:line="274" w:lineRule="auto"/>
        <w:ind w:left="284" w:hanging="284"/>
        <w:rPr>
          <w:rFonts w:asciiTheme="minorHAnsi" w:hAnsiTheme="minorHAnsi"/>
          <w:sz w:val="22"/>
          <w:szCs w:val="22"/>
        </w:rPr>
      </w:pPr>
      <w:r>
        <w:rPr>
          <w:rFonts w:asciiTheme="minorHAnsi" w:hAnsiTheme="minorHAnsi"/>
          <w:sz w:val="22"/>
          <w:szCs w:val="22"/>
        </w:rPr>
        <w:tab/>
      </w:r>
      <w:r w:rsidR="00494841">
        <w:rPr>
          <w:rFonts w:asciiTheme="minorHAnsi" w:hAnsiTheme="minorHAnsi"/>
          <w:sz w:val="22"/>
          <w:szCs w:val="22"/>
        </w:rPr>
        <w:t>This means that, according to the portfolio of each of ETRMA member</w:t>
      </w:r>
      <w:r w:rsidR="00ED523C">
        <w:rPr>
          <w:rFonts w:asciiTheme="minorHAnsi" w:hAnsiTheme="minorHAnsi"/>
          <w:sz w:val="22"/>
          <w:szCs w:val="22"/>
        </w:rPr>
        <w:t xml:space="preserve"> </w:t>
      </w:r>
      <w:r w:rsidR="00EE2D6D">
        <w:rPr>
          <w:rFonts w:asciiTheme="minorHAnsi" w:hAnsiTheme="minorHAnsi"/>
          <w:sz w:val="22"/>
          <w:szCs w:val="22"/>
        </w:rPr>
        <w:t>(whether OE or replacement-heavy) and the percentage of tyres that would need reengineering</w:t>
      </w:r>
      <w:r w:rsidR="00494841">
        <w:rPr>
          <w:rFonts w:asciiTheme="minorHAnsi" w:hAnsiTheme="minorHAnsi"/>
          <w:sz w:val="22"/>
          <w:szCs w:val="22"/>
        </w:rPr>
        <w:t xml:space="preserve">, the impact could go from a few million to </w:t>
      </w:r>
      <w:r w:rsidR="00B24970">
        <w:rPr>
          <w:rFonts w:asciiTheme="minorHAnsi" w:hAnsiTheme="minorHAnsi"/>
          <w:sz w:val="22"/>
          <w:szCs w:val="22"/>
        </w:rPr>
        <w:t>hundreds of millions</w:t>
      </w:r>
      <w:r w:rsidR="00494841">
        <w:rPr>
          <w:rFonts w:asciiTheme="minorHAnsi" w:hAnsiTheme="minorHAnsi"/>
          <w:sz w:val="22"/>
          <w:szCs w:val="22"/>
        </w:rPr>
        <w:t xml:space="preserve"> of euros of impact</w:t>
      </w:r>
      <w:r w:rsidR="00934BC6">
        <w:rPr>
          <w:rFonts w:asciiTheme="minorHAnsi" w:hAnsiTheme="minorHAnsi"/>
          <w:sz w:val="22"/>
          <w:szCs w:val="22"/>
        </w:rPr>
        <w:t xml:space="preserve"> – indicating that the JRC estimate of half billion euro</w:t>
      </w:r>
      <w:r w:rsidR="007873F5">
        <w:rPr>
          <w:rFonts w:asciiTheme="minorHAnsi" w:hAnsiTheme="minorHAnsi"/>
          <w:sz w:val="22"/>
          <w:szCs w:val="22"/>
        </w:rPr>
        <w:t xml:space="preserve"> widely underestimates the impact of this legislation.</w:t>
      </w:r>
    </w:p>
    <w:p w14:paraId="2BB13195" w14:textId="77777777" w:rsidR="00FC60A9" w:rsidRPr="004501C4" w:rsidRDefault="00FC60A9" w:rsidP="00756405">
      <w:pPr>
        <w:pStyle w:val="NormalWeb"/>
        <w:numPr>
          <w:ilvl w:val="0"/>
          <w:numId w:val="5"/>
        </w:numPr>
        <w:tabs>
          <w:tab w:val="clear" w:pos="720"/>
          <w:tab w:val="num" w:pos="284"/>
        </w:tabs>
        <w:spacing w:before="60" w:beforeAutospacing="0" w:after="60" w:afterAutospacing="0" w:line="274" w:lineRule="auto"/>
        <w:ind w:left="284" w:hanging="284"/>
        <w:rPr>
          <w:rFonts w:asciiTheme="minorHAnsi" w:hAnsiTheme="minorHAnsi"/>
          <w:sz w:val="22"/>
          <w:szCs w:val="22"/>
        </w:rPr>
      </w:pPr>
      <w:r w:rsidRPr="004501C4">
        <w:rPr>
          <w:rStyle w:val="Strong"/>
          <w:rFonts w:asciiTheme="minorHAnsi" w:eastAsiaTheme="majorEastAsia" w:hAnsiTheme="minorHAnsi"/>
          <w:sz w:val="22"/>
          <w:szCs w:val="22"/>
        </w:rPr>
        <w:t>Product portfolio shrinkage</w:t>
      </w:r>
      <w:r w:rsidRPr="004501C4">
        <w:rPr>
          <w:rFonts w:asciiTheme="minorHAnsi" w:hAnsiTheme="minorHAnsi"/>
          <w:sz w:val="22"/>
          <w:szCs w:val="22"/>
        </w:rPr>
        <w:t>: Many niche, regional, or special-use tyres may be discontinued, reducing consumer choice and potentially impacting safety in specific conditions (e.g. winter, high-load, high-speed).</w:t>
      </w:r>
    </w:p>
    <w:p w14:paraId="47C7FD5E" w14:textId="77777777" w:rsidR="00FC60A9" w:rsidRPr="004501C4" w:rsidRDefault="00FC60A9" w:rsidP="00756405">
      <w:pPr>
        <w:pStyle w:val="NormalWeb"/>
        <w:numPr>
          <w:ilvl w:val="0"/>
          <w:numId w:val="5"/>
        </w:numPr>
        <w:tabs>
          <w:tab w:val="clear" w:pos="720"/>
          <w:tab w:val="num" w:pos="284"/>
        </w:tabs>
        <w:spacing w:before="60" w:beforeAutospacing="0" w:after="60" w:afterAutospacing="0" w:line="274" w:lineRule="auto"/>
        <w:ind w:left="284" w:hanging="284"/>
        <w:rPr>
          <w:rFonts w:asciiTheme="minorHAnsi" w:hAnsiTheme="minorHAnsi"/>
          <w:sz w:val="22"/>
          <w:szCs w:val="22"/>
        </w:rPr>
      </w:pPr>
      <w:r w:rsidRPr="004501C4">
        <w:rPr>
          <w:rStyle w:val="Strong"/>
          <w:rFonts w:asciiTheme="minorHAnsi" w:eastAsiaTheme="majorEastAsia" w:hAnsiTheme="minorHAnsi"/>
          <w:sz w:val="22"/>
          <w:szCs w:val="22"/>
        </w:rPr>
        <w:t>Price pressures</w:t>
      </w:r>
      <w:r w:rsidRPr="004501C4">
        <w:rPr>
          <w:rFonts w:asciiTheme="minorHAnsi" w:hAnsiTheme="minorHAnsi"/>
          <w:sz w:val="22"/>
          <w:szCs w:val="22"/>
        </w:rPr>
        <w:t>: Increased development and industrialisation costs would translate into higher tyre prices for consumers and fleet operators.</w:t>
      </w:r>
    </w:p>
    <w:p w14:paraId="1DCADB29" w14:textId="0A46705E" w:rsidR="00630EC7" w:rsidRPr="00630EC7" w:rsidRDefault="00FC60A9" w:rsidP="00756405">
      <w:pPr>
        <w:pStyle w:val="NormalWeb"/>
        <w:numPr>
          <w:ilvl w:val="0"/>
          <w:numId w:val="5"/>
        </w:numPr>
        <w:tabs>
          <w:tab w:val="clear" w:pos="720"/>
          <w:tab w:val="num" w:pos="284"/>
        </w:tabs>
        <w:spacing w:before="60" w:beforeAutospacing="0" w:after="60" w:afterAutospacing="0" w:line="274" w:lineRule="auto"/>
        <w:ind w:left="284" w:hanging="284"/>
        <w:rPr>
          <w:b/>
          <w:bCs/>
          <w:sz w:val="22"/>
          <w:szCs w:val="22"/>
        </w:rPr>
      </w:pPr>
      <w:r w:rsidRPr="004501C4">
        <w:rPr>
          <w:rStyle w:val="Strong"/>
          <w:rFonts w:asciiTheme="minorHAnsi" w:eastAsiaTheme="majorEastAsia" w:hAnsiTheme="minorHAnsi"/>
          <w:sz w:val="22"/>
          <w:szCs w:val="22"/>
        </w:rPr>
        <w:t>Competitiveness loss</w:t>
      </w:r>
      <w:r w:rsidR="00630EC7">
        <w:rPr>
          <w:rStyle w:val="Strong"/>
          <w:rFonts w:asciiTheme="minorHAnsi" w:eastAsiaTheme="majorEastAsia" w:hAnsiTheme="minorHAnsi"/>
          <w:sz w:val="22"/>
          <w:szCs w:val="22"/>
        </w:rPr>
        <w:t xml:space="preserve"> and industrial risk</w:t>
      </w:r>
      <w:r w:rsidRPr="004501C4">
        <w:rPr>
          <w:rFonts w:asciiTheme="minorHAnsi" w:hAnsiTheme="minorHAnsi"/>
          <w:sz w:val="22"/>
          <w:szCs w:val="22"/>
        </w:rPr>
        <w:t xml:space="preserve">: </w:t>
      </w:r>
      <w:r w:rsidR="00630EC7" w:rsidRPr="00630EC7">
        <w:rPr>
          <w:rFonts w:asciiTheme="minorHAnsi" w:hAnsiTheme="minorHAnsi"/>
          <w:sz w:val="22"/>
          <w:szCs w:val="22"/>
        </w:rPr>
        <w:t>With European production already significantly more costly than in Asia or the US, stricter limits would further widen the cost gap and accelerate the shift of market share towards imports. This would weaken Europe’s industrial base and put additional pressure on plants and R&amp;D centres, increasing the risk of closures. The consequences would be felt not only in terms of lost industrial capacity but also through job losses and reduced economic activity in regions where tyre manufacturing remains a key employer</w:t>
      </w:r>
      <w:r w:rsidR="00630EC7" w:rsidRPr="00630EC7">
        <w:rPr>
          <w:b/>
          <w:bCs/>
          <w:sz w:val="22"/>
          <w:szCs w:val="22"/>
        </w:rPr>
        <w:t>.</w:t>
      </w:r>
    </w:p>
    <w:p w14:paraId="681FE722" w14:textId="78F1EAC4" w:rsidR="00630EC7" w:rsidRPr="00630EC7" w:rsidRDefault="00630EC7" w:rsidP="00FA39CB">
      <w:pPr>
        <w:pStyle w:val="NormalWeb"/>
        <w:spacing w:before="60" w:beforeAutospacing="0" w:after="60" w:afterAutospacing="0" w:line="274" w:lineRule="auto"/>
        <w:ind w:left="720"/>
        <w:rPr>
          <w:b/>
          <w:bCs/>
          <w:sz w:val="22"/>
          <w:szCs w:val="22"/>
        </w:rPr>
      </w:pPr>
    </w:p>
    <w:p w14:paraId="3643CCC4" w14:textId="366F5515" w:rsidR="00E7059F" w:rsidRPr="00E7059F" w:rsidRDefault="00E7059F" w:rsidP="00FA39CB">
      <w:pPr>
        <w:shd w:val="clear" w:color="auto" w:fill="CAEDFB" w:themeFill="accent4" w:themeFillTint="33"/>
        <w:spacing w:before="60" w:after="60" w:line="274" w:lineRule="auto"/>
        <w:rPr>
          <w:b/>
          <w:bCs/>
          <w:sz w:val="22"/>
          <w:szCs w:val="22"/>
        </w:rPr>
      </w:pPr>
      <w:r w:rsidRPr="00E7059F">
        <w:rPr>
          <w:b/>
          <w:bCs/>
          <w:sz w:val="22"/>
          <w:szCs w:val="22"/>
        </w:rPr>
        <w:t>Conclusion</w:t>
      </w:r>
    </w:p>
    <w:p w14:paraId="621352A5" w14:textId="77777777" w:rsidR="00E7059F" w:rsidRPr="00E7059F" w:rsidRDefault="00E7059F" w:rsidP="00FA39CB">
      <w:pPr>
        <w:spacing w:before="60" w:after="60" w:line="274" w:lineRule="auto"/>
        <w:rPr>
          <w:sz w:val="22"/>
          <w:szCs w:val="22"/>
        </w:rPr>
      </w:pPr>
      <w:r w:rsidRPr="00E7059F">
        <w:rPr>
          <w:sz w:val="22"/>
          <w:szCs w:val="22"/>
        </w:rPr>
        <w:t>The industry proposal offers a balanced way forward: ambitious enough to deliver measurable environmental benefits, realistic enough to be implemented within the required timeframe, and consistent with Europe’s wider objectives on competitiveness and resilience.</w:t>
      </w:r>
    </w:p>
    <w:p w14:paraId="5476D5CA" w14:textId="58888C53" w:rsidR="00D73371" w:rsidRPr="004501C4" w:rsidRDefault="00E7059F" w:rsidP="00FA39CB">
      <w:pPr>
        <w:spacing w:before="60" w:after="60" w:line="274" w:lineRule="auto"/>
        <w:rPr>
          <w:sz w:val="22"/>
          <w:szCs w:val="22"/>
        </w:rPr>
      </w:pPr>
      <w:r w:rsidRPr="00E7059F">
        <w:rPr>
          <w:sz w:val="22"/>
          <w:szCs w:val="22"/>
        </w:rPr>
        <w:t>We call on policymakers to support the adoption of this proposal in the UN framework.</w:t>
      </w:r>
    </w:p>
    <w:sectPr w:rsidR="00D73371" w:rsidRPr="004501C4" w:rsidSect="006D7141">
      <w:headerReference w:type="first" r:id="rId12"/>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2E0A" w14:textId="77777777" w:rsidR="001E25B5" w:rsidRDefault="001E25B5" w:rsidP="0098575F">
      <w:pPr>
        <w:spacing w:after="0" w:line="240" w:lineRule="auto"/>
      </w:pPr>
      <w:r>
        <w:separator/>
      </w:r>
    </w:p>
  </w:endnote>
  <w:endnote w:type="continuationSeparator" w:id="0">
    <w:p w14:paraId="1326627E" w14:textId="77777777" w:rsidR="001E25B5" w:rsidRDefault="001E25B5" w:rsidP="0098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2B3F" w14:textId="77777777" w:rsidR="001E25B5" w:rsidRDefault="001E25B5" w:rsidP="0098575F">
      <w:pPr>
        <w:spacing w:after="0" w:line="240" w:lineRule="auto"/>
      </w:pPr>
      <w:r>
        <w:separator/>
      </w:r>
    </w:p>
  </w:footnote>
  <w:footnote w:type="continuationSeparator" w:id="0">
    <w:p w14:paraId="357C1F4C" w14:textId="77777777" w:rsidR="001E25B5" w:rsidRDefault="001E25B5" w:rsidP="0098575F">
      <w:pPr>
        <w:spacing w:after="0" w:line="240" w:lineRule="auto"/>
      </w:pPr>
      <w:r>
        <w:continuationSeparator/>
      </w:r>
    </w:p>
  </w:footnote>
  <w:footnote w:id="1">
    <w:p w14:paraId="7D288E2D" w14:textId="731FBF67" w:rsidR="00972440" w:rsidRDefault="00972440">
      <w:pPr>
        <w:pStyle w:val="FootnoteText"/>
      </w:pPr>
      <w:r>
        <w:rPr>
          <w:rStyle w:val="FootnoteReference"/>
        </w:rPr>
        <w:footnoteRef/>
      </w:r>
      <w:r>
        <w:t xml:space="preserve"> 180 tyres were tested for this purpose.</w:t>
      </w:r>
    </w:p>
  </w:footnote>
  <w:footnote w:id="2">
    <w:p w14:paraId="79A4B8EA" w14:textId="360A8333" w:rsidR="006C3A79" w:rsidRDefault="006C3A79">
      <w:pPr>
        <w:pStyle w:val="FootnoteText"/>
      </w:pPr>
      <w:r>
        <w:rPr>
          <w:rStyle w:val="FootnoteReference"/>
        </w:rPr>
        <w:footnoteRef/>
      </w:r>
      <w:r>
        <w:t xml:space="preserve"> </w:t>
      </w:r>
      <w:r w:rsidR="00D73038">
        <w:t>Whilst this proposal reflects the</w:t>
      </w:r>
      <w:r w:rsidR="009C1071">
        <w:t xml:space="preserve"> average limits </w:t>
      </w:r>
      <w:r w:rsidR="00B63506">
        <w:t>collected from</w:t>
      </w:r>
      <w:r w:rsidR="009C1071">
        <w:t xml:space="preserve"> all manufacturers,</w:t>
      </w:r>
      <w:r w:rsidR="00CF22A6">
        <w:t xml:space="preserve"> </w:t>
      </w:r>
      <w:r w:rsidR="00D73038">
        <w:t xml:space="preserve">it </w:t>
      </w:r>
      <w:r w:rsidR="00CF22A6">
        <w:t xml:space="preserve">is </w:t>
      </w:r>
      <w:r w:rsidR="00EC533D">
        <w:t>not endorsed by a tyre manufacturer.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590"/>
    </w:tblGrid>
    <w:tr w:rsidR="006D7141" w14:paraId="734B43D4" w14:textId="77777777" w:rsidTr="002237B4">
      <w:tc>
        <w:tcPr>
          <w:tcW w:w="4590" w:type="dxa"/>
        </w:tcPr>
        <w:p w14:paraId="27455134" w14:textId="58E0E895" w:rsidR="006D7141" w:rsidRDefault="006D7141" w:rsidP="006D7141">
          <w:pPr>
            <w:pStyle w:val="Header"/>
          </w:pPr>
          <w:r>
            <w:rPr>
              <w:noProof/>
              <w:lang w:val="fr-BE" w:eastAsia="fr-BE"/>
            </w:rPr>
            <w:drawing>
              <wp:inline distT="0" distB="0" distL="0" distR="0" wp14:anchorId="2976030B" wp14:editId="67A05C05">
                <wp:extent cx="1649095" cy="666115"/>
                <wp:effectExtent l="0" t="0" r="8255" b="635"/>
                <wp:docPr id="1863576310"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446344" descr="A blue and white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9095" cy="666115"/>
                        </a:xfrm>
                        <a:prstGeom prst="rect">
                          <a:avLst/>
                        </a:prstGeom>
                        <a:noFill/>
                        <a:ln>
                          <a:noFill/>
                        </a:ln>
                      </pic:spPr>
                    </pic:pic>
                  </a:graphicData>
                </a:graphic>
              </wp:inline>
            </w:drawing>
          </w:r>
        </w:p>
      </w:tc>
      <w:tc>
        <w:tcPr>
          <w:tcW w:w="4590" w:type="dxa"/>
        </w:tcPr>
        <w:p w14:paraId="2949122E" w14:textId="42264149" w:rsidR="006D7141" w:rsidRDefault="006D7141" w:rsidP="006D7141">
          <w:pPr>
            <w:pStyle w:val="Header"/>
          </w:pPr>
          <w:r>
            <w:rPr>
              <w:noProof/>
            </w:rPr>
            <w:drawing>
              <wp:anchor distT="0" distB="0" distL="114300" distR="114300" simplePos="0" relativeHeight="251659264" behindDoc="0" locked="0" layoutInCell="1" allowOverlap="1" wp14:anchorId="7FC5F172" wp14:editId="7103BD71">
                <wp:simplePos x="0" y="0"/>
                <wp:positionH relativeFrom="margin">
                  <wp:posOffset>1647187</wp:posOffset>
                </wp:positionH>
                <wp:positionV relativeFrom="paragraph">
                  <wp:posOffset>2540</wp:posOffset>
                </wp:positionV>
                <wp:extent cx="1176020" cy="647700"/>
                <wp:effectExtent l="0" t="0" r="5080" b="0"/>
                <wp:wrapNone/>
                <wp:docPr id="721172110" name="Picture 1" descr="Home - ET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ETRM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602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4F95871" w14:textId="50A3694E" w:rsidR="006D7141" w:rsidRDefault="000A5799">
    <w:pPr>
      <w:pStyle w:val="Header"/>
    </w:pPr>
    <w:r w:rsidRPr="00486EEA">
      <w:rPr>
        <w:rFonts w:eastAsia="Times New Roman" w:cstheme="minorHAnsi"/>
        <w:b/>
        <w:bCs/>
        <w:noProof/>
        <w:color w:val="003865"/>
        <w:sz w:val="30"/>
        <w:szCs w:val="30"/>
        <w:lang w:val="en-US" w:eastAsia="fr-BE"/>
        <w14:ligatures w14:val="none"/>
      </w:rPr>
      <mc:AlternateContent>
        <mc:Choice Requires="wps">
          <w:drawing>
            <wp:anchor distT="45720" distB="45720" distL="114300" distR="114300" simplePos="0" relativeHeight="251661312" behindDoc="0" locked="0" layoutInCell="1" allowOverlap="1" wp14:anchorId="2A798EB4" wp14:editId="12134A4B">
              <wp:simplePos x="0" y="0"/>
              <wp:positionH relativeFrom="column">
                <wp:posOffset>3637280</wp:posOffset>
              </wp:positionH>
              <wp:positionV relativeFrom="paragraph">
                <wp:posOffset>-782955</wp:posOffset>
              </wp:positionV>
              <wp:extent cx="2892425" cy="809625"/>
              <wp:effectExtent l="0" t="0" r="2222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809625"/>
                      </a:xfrm>
                      <a:prstGeom prst="rect">
                        <a:avLst/>
                      </a:prstGeom>
                      <a:solidFill>
                        <a:srgbClr val="FFFFFF"/>
                      </a:solidFill>
                      <a:ln w="9525">
                        <a:solidFill>
                          <a:srgbClr val="000000"/>
                        </a:solidFill>
                        <a:miter lim="800000"/>
                        <a:headEnd/>
                        <a:tailEnd/>
                      </a:ln>
                    </wps:spPr>
                    <wps:txbx>
                      <w:txbxContent>
                        <w:p w14:paraId="7ADAE009" w14:textId="33D91727" w:rsidR="00486EEA" w:rsidRPr="000A5799" w:rsidRDefault="00486EEA" w:rsidP="000A5799">
                          <w:pPr>
                            <w:jc w:val="right"/>
                            <w:rPr>
                              <w:sz w:val="20"/>
                              <w:szCs w:val="20"/>
                            </w:rPr>
                          </w:pPr>
                          <w:r w:rsidRPr="000A5799">
                            <w:rPr>
                              <w:sz w:val="20"/>
                              <w:szCs w:val="20"/>
                            </w:rPr>
                            <w:t>Submitted by the experts of ETRTO/ETRMA</w:t>
                          </w:r>
                        </w:p>
                        <w:p w14:paraId="79628D5B" w14:textId="32660076" w:rsidR="000A5799" w:rsidRPr="000A5799" w:rsidRDefault="000A5799" w:rsidP="000A5799">
                          <w:pPr>
                            <w:jc w:val="right"/>
                            <w:rPr>
                              <w:sz w:val="20"/>
                              <w:szCs w:val="20"/>
                              <w:lang w:val="fr-BE"/>
                            </w:rPr>
                          </w:pPr>
                          <w:r w:rsidRPr="000A5799">
                            <w:rPr>
                              <w:sz w:val="20"/>
                              <w:szCs w:val="20"/>
                              <w:lang w:val="fr-BE"/>
                            </w:rPr>
                            <w:t>Document GRBP-82-</w:t>
                          </w:r>
                          <w:r w:rsidR="001421F9">
                            <w:rPr>
                              <w:sz w:val="20"/>
                              <w:szCs w:val="20"/>
                              <w:lang w:val="fr-BE"/>
                            </w:rPr>
                            <w:t>25</w:t>
                          </w:r>
                        </w:p>
                        <w:p w14:paraId="5AD7613A" w14:textId="2B76D427" w:rsidR="00486EEA" w:rsidRPr="000A5799" w:rsidRDefault="00486EEA" w:rsidP="000A5799">
                          <w:pPr>
                            <w:jc w:val="right"/>
                            <w:rPr>
                              <w:sz w:val="20"/>
                              <w:szCs w:val="20"/>
                              <w:lang w:val="fr-BE"/>
                            </w:rPr>
                          </w:pPr>
                          <w:r w:rsidRPr="000A5799">
                            <w:rPr>
                              <w:sz w:val="20"/>
                              <w:szCs w:val="20"/>
                              <w:lang w:val="fr-BE"/>
                            </w:rPr>
                            <w:t>Agenda item 5.b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798EB4" id="_x0000_t202" coordsize="21600,21600" o:spt="202" path="m,l,21600r21600,l21600,xe">
              <v:stroke joinstyle="miter"/>
              <v:path gradientshapeok="t" o:connecttype="rect"/>
            </v:shapetype>
            <v:shape id="Zone de texte 2" o:spid="_x0000_s1026" type="#_x0000_t202" style="position:absolute;margin-left:286.4pt;margin-top:-61.65pt;width:227.75pt;height:6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">
              <v:textbox>
                <w:txbxContent>
                  <w:p w14:paraId="7ADAE009" w14:textId="33D91727" w:rsidR="00486EEA" w:rsidRPr="000A5799" w:rsidRDefault="00486EEA" w:rsidP="000A5799">
                    <w:pPr>
                      <w:jc w:val="right"/>
                      <w:rPr>
                        <w:sz w:val="20"/>
                        <w:szCs w:val="20"/>
                      </w:rPr>
                    </w:pPr>
                    <w:r w:rsidRPr="000A5799">
                      <w:rPr>
                        <w:sz w:val="20"/>
                        <w:szCs w:val="20"/>
                      </w:rPr>
                      <w:t>Submitted by the experts of ETRTO/ETRMA</w:t>
                    </w:r>
                  </w:p>
                  <w:p w14:paraId="79628D5B" w14:textId="32660076" w:rsidR="000A5799" w:rsidRPr="000A5799" w:rsidRDefault="000A5799" w:rsidP="000A5799">
                    <w:pPr>
                      <w:jc w:val="right"/>
                      <w:rPr>
                        <w:sz w:val="20"/>
                        <w:szCs w:val="20"/>
                        <w:lang w:val="fr-BE"/>
                      </w:rPr>
                    </w:pPr>
                    <w:r w:rsidRPr="000A5799">
                      <w:rPr>
                        <w:sz w:val="20"/>
                        <w:szCs w:val="20"/>
                        <w:lang w:val="fr-BE"/>
                      </w:rPr>
                      <w:t>Document GRBP-82-</w:t>
                    </w:r>
                    <w:r w:rsidR="001421F9">
                      <w:rPr>
                        <w:sz w:val="20"/>
                        <w:szCs w:val="20"/>
                        <w:lang w:val="fr-BE"/>
                      </w:rPr>
                      <w:t>25</w:t>
                    </w:r>
                  </w:p>
                  <w:p w14:paraId="5AD7613A" w14:textId="2B76D427" w:rsidR="00486EEA" w:rsidRPr="000A5799" w:rsidRDefault="00486EEA" w:rsidP="000A5799">
                    <w:pPr>
                      <w:jc w:val="right"/>
                      <w:rPr>
                        <w:sz w:val="20"/>
                        <w:szCs w:val="20"/>
                        <w:lang w:val="fr-BE"/>
                      </w:rPr>
                    </w:pPr>
                    <w:r w:rsidRPr="000A5799">
                      <w:rPr>
                        <w:sz w:val="20"/>
                        <w:szCs w:val="20"/>
                        <w:lang w:val="fr-BE"/>
                      </w:rPr>
                      <w:t>Agenda item 5.b</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217A"/>
    <w:multiLevelType w:val="multilevel"/>
    <w:tmpl w:val="2074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E0644"/>
    <w:multiLevelType w:val="multilevel"/>
    <w:tmpl w:val="3DC8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C6E4A"/>
    <w:multiLevelType w:val="multilevel"/>
    <w:tmpl w:val="C97C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D06FA"/>
    <w:multiLevelType w:val="multilevel"/>
    <w:tmpl w:val="A488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971D8"/>
    <w:multiLevelType w:val="multilevel"/>
    <w:tmpl w:val="6D26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50417">
    <w:abstractNumId w:val="3"/>
  </w:num>
  <w:num w:numId="2" w16cid:durableId="1093472946">
    <w:abstractNumId w:val="1"/>
  </w:num>
  <w:num w:numId="3" w16cid:durableId="302349910">
    <w:abstractNumId w:val="4"/>
  </w:num>
  <w:num w:numId="4" w16cid:durableId="2065639174">
    <w:abstractNumId w:val="0"/>
  </w:num>
  <w:num w:numId="5" w16cid:durableId="1481077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9F"/>
    <w:rsid w:val="00007C14"/>
    <w:rsid w:val="00027DE0"/>
    <w:rsid w:val="000410AA"/>
    <w:rsid w:val="00080720"/>
    <w:rsid w:val="00087E1D"/>
    <w:rsid w:val="000A1587"/>
    <w:rsid w:val="000A5799"/>
    <w:rsid w:val="000E6137"/>
    <w:rsid w:val="001034E5"/>
    <w:rsid w:val="00126BA6"/>
    <w:rsid w:val="001421F9"/>
    <w:rsid w:val="00187CDB"/>
    <w:rsid w:val="001A1411"/>
    <w:rsid w:val="001E25B5"/>
    <w:rsid w:val="002054B2"/>
    <w:rsid w:val="002614F0"/>
    <w:rsid w:val="00267934"/>
    <w:rsid w:val="00276313"/>
    <w:rsid w:val="002F34A3"/>
    <w:rsid w:val="0035484E"/>
    <w:rsid w:val="00370BCE"/>
    <w:rsid w:val="00374970"/>
    <w:rsid w:val="00384600"/>
    <w:rsid w:val="00386C21"/>
    <w:rsid w:val="003B0E35"/>
    <w:rsid w:val="003E585A"/>
    <w:rsid w:val="003F12C6"/>
    <w:rsid w:val="0041377A"/>
    <w:rsid w:val="00417228"/>
    <w:rsid w:val="004271DD"/>
    <w:rsid w:val="004501C4"/>
    <w:rsid w:val="00454119"/>
    <w:rsid w:val="004722D1"/>
    <w:rsid w:val="00481108"/>
    <w:rsid w:val="00486EEA"/>
    <w:rsid w:val="00490D36"/>
    <w:rsid w:val="00494841"/>
    <w:rsid w:val="004C5D0A"/>
    <w:rsid w:val="004C7995"/>
    <w:rsid w:val="005129C7"/>
    <w:rsid w:val="0053370E"/>
    <w:rsid w:val="00535033"/>
    <w:rsid w:val="005B59A3"/>
    <w:rsid w:val="005D13D4"/>
    <w:rsid w:val="005D6AEC"/>
    <w:rsid w:val="005E7EC5"/>
    <w:rsid w:val="006233E4"/>
    <w:rsid w:val="00630EC7"/>
    <w:rsid w:val="00647C8D"/>
    <w:rsid w:val="0068382E"/>
    <w:rsid w:val="00697A74"/>
    <w:rsid w:val="006A5447"/>
    <w:rsid w:val="006C29F1"/>
    <w:rsid w:val="006C3A79"/>
    <w:rsid w:val="006D7141"/>
    <w:rsid w:val="006D798C"/>
    <w:rsid w:val="006E34CC"/>
    <w:rsid w:val="007065A4"/>
    <w:rsid w:val="007174E8"/>
    <w:rsid w:val="00721CD8"/>
    <w:rsid w:val="007330B9"/>
    <w:rsid w:val="00756405"/>
    <w:rsid w:val="007623B4"/>
    <w:rsid w:val="007873F5"/>
    <w:rsid w:val="007A6C8D"/>
    <w:rsid w:val="007A7FDE"/>
    <w:rsid w:val="007C16F0"/>
    <w:rsid w:val="007D02E6"/>
    <w:rsid w:val="007D1B5C"/>
    <w:rsid w:val="00805CB4"/>
    <w:rsid w:val="008215D7"/>
    <w:rsid w:val="00824D58"/>
    <w:rsid w:val="00832F99"/>
    <w:rsid w:val="00846C04"/>
    <w:rsid w:val="008900C9"/>
    <w:rsid w:val="008A14E5"/>
    <w:rsid w:val="008A6CDD"/>
    <w:rsid w:val="008B5903"/>
    <w:rsid w:val="0091357A"/>
    <w:rsid w:val="00934BC6"/>
    <w:rsid w:val="00945471"/>
    <w:rsid w:val="00972440"/>
    <w:rsid w:val="00974EB5"/>
    <w:rsid w:val="0098575F"/>
    <w:rsid w:val="009C1071"/>
    <w:rsid w:val="009C60D9"/>
    <w:rsid w:val="009D6930"/>
    <w:rsid w:val="009E3724"/>
    <w:rsid w:val="009F4A0D"/>
    <w:rsid w:val="00A02C3D"/>
    <w:rsid w:val="00A074C8"/>
    <w:rsid w:val="00A24BA4"/>
    <w:rsid w:val="00A27F53"/>
    <w:rsid w:val="00A45AD2"/>
    <w:rsid w:val="00A61ABE"/>
    <w:rsid w:val="00A6699A"/>
    <w:rsid w:val="00A71940"/>
    <w:rsid w:val="00AC747F"/>
    <w:rsid w:val="00AD72D9"/>
    <w:rsid w:val="00B20DA7"/>
    <w:rsid w:val="00B24970"/>
    <w:rsid w:val="00B337CC"/>
    <w:rsid w:val="00B36C1F"/>
    <w:rsid w:val="00B37FEF"/>
    <w:rsid w:val="00B45769"/>
    <w:rsid w:val="00B60356"/>
    <w:rsid w:val="00B61F95"/>
    <w:rsid w:val="00B63506"/>
    <w:rsid w:val="00B65361"/>
    <w:rsid w:val="00B673F6"/>
    <w:rsid w:val="00B75228"/>
    <w:rsid w:val="00B91732"/>
    <w:rsid w:val="00B9427D"/>
    <w:rsid w:val="00BA0C1B"/>
    <w:rsid w:val="00BB652F"/>
    <w:rsid w:val="00BC755E"/>
    <w:rsid w:val="00BF2379"/>
    <w:rsid w:val="00C062E4"/>
    <w:rsid w:val="00C334F8"/>
    <w:rsid w:val="00CA56F5"/>
    <w:rsid w:val="00CF1BCF"/>
    <w:rsid w:val="00CF22A6"/>
    <w:rsid w:val="00CF6422"/>
    <w:rsid w:val="00D07396"/>
    <w:rsid w:val="00D431ED"/>
    <w:rsid w:val="00D45688"/>
    <w:rsid w:val="00D54942"/>
    <w:rsid w:val="00D73038"/>
    <w:rsid w:val="00D73371"/>
    <w:rsid w:val="00D90D44"/>
    <w:rsid w:val="00E02D76"/>
    <w:rsid w:val="00E25CC2"/>
    <w:rsid w:val="00E305C7"/>
    <w:rsid w:val="00E55416"/>
    <w:rsid w:val="00E7059F"/>
    <w:rsid w:val="00E85E2B"/>
    <w:rsid w:val="00E8643F"/>
    <w:rsid w:val="00E86B4B"/>
    <w:rsid w:val="00EB630F"/>
    <w:rsid w:val="00EC533D"/>
    <w:rsid w:val="00ED523C"/>
    <w:rsid w:val="00EE2D6D"/>
    <w:rsid w:val="00F0200D"/>
    <w:rsid w:val="00F0392D"/>
    <w:rsid w:val="00F070B5"/>
    <w:rsid w:val="00F141F3"/>
    <w:rsid w:val="00F32986"/>
    <w:rsid w:val="00F342AE"/>
    <w:rsid w:val="00F458F3"/>
    <w:rsid w:val="00F644E7"/>
    <w:rsid w:val="00F95B55"/>
    <w:rsid w:val="00F97546"/>
    <w:rsid w:val="00FA39CB"/>
    <w:rsid w:val="00FC60A9"/>
    <w:rsid w:val="00FD1998"/>
    <w:rsid w:val="00FD54CB"/>
    <w:rsid w:val="00FE464D"/>
    <w:rsid w:val="00FF00EC"/>
    <w:rsid w:val="00FF6A56"/>
    <w:rsid w:val="05AAE13C"/>
    <w:rsid w:val="276DBFC7"/>
    <w:rsid w:val="2D31085E"/>
    <w:rsid w:val="40C16B7F"/>
    <w:rsid w:val="51B68DDF"/>
    <w:rsid w:val="658DE08B"/>
    <w:rsid w:val="69899E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BDBE"/>
  <w15:chartTrackingRefBased/>
  <w15:docId w15:val="{3305546F-00E7-4FAD-AA66-52AE7852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59F"/>
    <w:rPr>
      <w:rFonts w:eastAsiaTheme="majorEastAsia" w:cstheme="majorBidi"/>
      <w:color w:val="272727" w:themeColor="text1" w:themeTint="D8"/>
    </w:rPr>
  </w:style>
  <w:style w:type="paragraph" w:styleId="Title">
    <w:name w:val="Title"/>
    <w:basedOn w:val="Normal"/>
    <w:next w:val="Normal"/>
    <w:link w:val="TitleChar"/>
    <w:uiPriority w:val="10"/>
    <w:qFormat/>
    <w:rsid w:val="00E70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59F"/>
    <w:pPr>
      <w:spacing w:before="160"/>
      <w:jc w:val="center"/>
    </w:pPr>
    <w:rPr>
      <w:i/>
      <w:iCs/>
      <w:color w:val="404040" w:themeColor="text1" w:themeTint="BF"/>
    </w:rPr>
  </w:style>
  <w:style w:type="character" w:customStyle="1" w:styleId="QuoteChar">
    <w:name w:val="Quote Char"/>
    <w:basedOn w:val="DefaultParagraphFont"/>
    <w:link w:val="Quote"/>
    <w:uiPriority w:val="29"/>
    <w:rsid w:val="00E7059F"/>
    <w:rPr>
      <w:i/>
      <w:iCs/>
      <w:color w:val="404040" w:themeColor="text1" w:themeTint="BF"/>
    </w:rPr>
  </w:style>
  <w:style w:type="paragraph" w:styleId="ListParagraph">
    <w:name w:val="List Paragraph"/>
    <w:basedOn w:val="Normal"/>
    <w:uiPriority w:val="34"/>
    <w:qFormat/>
    <w:rsid w:val="00E7059F"/>
    <w:pPr>
      <w:ind w:left="720"/>
      <w:contextualSpacing/>
    </w:pPr>
  </w:style>
  <w:style w:type="character" w:styleId="IntenseEmphasis">
    <w:name w:val="Intense Emphasis"/>
    <w:basedOn w:val="DefaultParagraphFont"/>
    <w:uiPriority w:val="21"/>
    <w:qFormat/>
    <w:rsid w:val="00E7059F"/>
    <w:rPr>
      <w:i/>
      <w:iCs/>
      <w:color w:val="0F4761" w:themeColor="accent1" w:themeShade="BF"/>
    </w:rPr>
  </w:style>
  <w:style w:type="paragraph" w:styleId="IntenseQuote">
    <w:name w:val="Intense Quote"/>
    <w:basedOn w:val="Normal"/>
    <w:next w:val="Normal"/>
    <w:link w:val="IntenseQuoteChar"/>
    <w:uiPriority w:val="30"/>
    <w:qFormat/>
    <w:rsid w:val="00E70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59F"/>
    <w:rPr>
      <w:i/>
      <w:iCs/>
      <w:color w:val="0F4761" w:themeColor="accent1" w:themeShade="BF"/>
    </w:rPr>
  </w:style>
  <w:style w:type="character" w:styleId="IntenseReference">
    <w:name w:val="Intense Reference"/>
    <w:basedOn w:val="DefaultParagraphFont"/>
    <w:uiPriority w:val="32"/>
    <w:qFormat/>
    <w:rsid w:val="00E7059F"/>
    <w:rPr>
      <w:b/>
      <w:bCs/>
      <w:smallCaps/>
      <w:color w:val="0F4761" w:themeColor="accent1" w:themeShade="BF"/>
      <w:spacing w:val="5"/>
    </w:rPr>
  </w:style>
  <w:style w:type="paragraph" w:styleId="NormalWeb">
    <w:name w:val="Normal (Web)"/>
    <w:basedOn w:val="Normal"/>
    <w:uiPriority w:val="99"/>
    <w:unhideWhenUsed/>
    <w:rsid w:val="00FC60A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C60A9"/>
    <w:rPr>
      <w:b/>
      <w:bCs/>
    </w:rPr>
  </w:style>
  <w:style w:type="paragraph" w:styleId="Revision">
    <w:name w:val="Revision"/>
    <w:hidden/>
    <w:uiPriority w:val="99"/>
    <w:semiHidden/>
    <w:rsid w:val="007A7FDE"/>
    <w:pPr>
      <w:spacing w:after="0" w:line="240" w:lineRule="auto"/>
    </w:pPr>
  </w:style>
  <w:style w:type="character" w:styleId="CommentReference">
    <w:name w:val="annotation reference"/>
    <w:basedOn w:val="DefaultParagraphFont"/>
    <w:uiPriority w:val="99"/>
    <w:semiHidden/>
    <w:unhideWhenUsed/>
    <w:rsid w:val="007A7FDE"/>
    <w:rPr>
      <w:sz w:val="16"/>
      <w:szCs w:val="16"/>
    </w:rPr>
  </w:style>
  <w:style w:type="paragraph" w:styleId="CommentText">
    <w:name w:val="annotation text"/>
    <w:basedOn w:val="Normal"/>
    <w:link w:val="CommentTextChar"/>
    <w:uiPriority w:val="99"/>
    <w:unhideWhenUsed/>
    <w:rsid w:val="007A7FDE"/>
    <w:pPr>
      <w:spacing w:line="240" w:lineRule="auto"/>
    </w:pPr>
    <w:rPr>
      <w:sz w:val="20"/>
      <w:szCs w:val="20"/>
    </w:rPr>
  </w:style>
  <w:style w:type="character" w:customStyle="1" w:styleId="CommentTextChar">
    <w:name w:val="Comment Text Char"/>
    <w:basedOn w:val="DefaultParagraphFont"/>
    <w:link w:val="CommentText"/>
    <w:uiPriority w:val="99"/>
    <w:rsid w:val="007A7FDE"/>
    <w:rPr>
      <w:sz w:val="20"/>
      <w:szCs w:val="20"/>
    </w:rPr>
  </w:style>
  <w:style w:type="paragraph" w:styleId="CommentSubject">
    <w:name w:val="annotation subject"/>
    <w:basedOn w:val="CommentText"/>
    <w:next w:val="CommentText"/>
    <w:link w:val="CommentSubjectChar"/>
    <w:uiPriority w:val="99"/>
    <w:semiHidden/>
    <w:unhideWhenUsed/>
    <w:rsid w:val="007A7FDE"/>
    <w:rPr>
      <w:b/>
      <w:bCs/>
    </w:rPr>
  </w:style>
  <w:style w:type="character" w:customStyle="1" w:styleId="CommentSubjectChar">
    <w:name w:val="Comment Subject Char"/>
    <w:basedOn w:val="CommentTextChar"/>
    <w:link w:val="CommentSubject"/>
    <w:uiPriority w:val="99"/>
    <w:semiHidden/>
    <w:rsid w:val="007A7FDE"/>
    <w:rPr>
      <w:b/>
      <w:bCs/>
      <w:sz w:val="20"/>
      <w:szCs w:val="20"/>
    </w:rPr>
  </w:style>
  <w:style w:type="paragraph" w:styleId="FootnoteText">
    <w:name w:val="footnote text"/>
    <w:basedOn w:val="Normal"/>
    <w:link w:val="FootnoteTextChar"/>
    <w:uiPriority w:val="99"/>
    <w:semiHidden/>
    <w:unhideWhenUsed/>
    <w:rsid w:val="009857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75F"/>
    <w:rPr>
      <w:sz w:val="20"/>
      <w:szCs w:val="20"/>
    </w:rPr>
  </w:style>
  <w:style w:type="character" w:styleId="FootnoteReference">
    <w:name w:val="footnote reference"/>
    <w:basedOn w:val="DefaultParagraphFont"/>
    <w:uiPriority w:val="99"/>
    <w:semiHidden/>
    <w:unhideWhenUsed/>
    <w:rsid w:val="0098575F"/>
    <w:rPr>
      <w:vertAlign w:val="superscript"/>
    </w:rPr>
  </w:style>
  <w:style w:type="paragraph" w:styleId="Header">
    <w:name w:val="header"/>
    <w:basedOn w:val="Normal"/>
    <w:link w:val="HeaderChar"/>
    <w:uiPriority w:val="99"/>
    <w:unhideWhenUsed/>
    <w:rsid w:val="00A66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99A"/>
  </w:style>
  <w:style w:type="paragraph" w:styleId="Footer">
    <w:name w:val="footer"/>
    <w:basedOn w:val="Normal"/>
    <w:link w:val="FooterChar"/>
    <w:uiPriority w:val="99"/>
    <w:unhideWhenUsed/>
    <w:rsid w:val="00A66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99A"/>
  </w:style>
  <w:style w:type="table" w:styleId="TableGrid">
    <w:name w:val="Table Grid"/>
    <w:basedOn w:val="TableNormal"/>
    <w:uiPriority w:val="39"/>
    <w:rsid w:val="00C3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364782">
      <w:bodyDiv w:val="1"/>
      <w:marLeft w:val="0"/>
      <w:marRight w:val="0"/>
      <w:marTop w:val="0"/>
      <w:marBottom w:val="0"/>
      <w:divBdr>
        <w:top w:val="none" w:sz="0" w:space="0" w:color="auto"/>
        <w:left w:val="none" w:sz="0" w:space="0" w:color="auto"/>
        <w:bottom w:val="none" w:sz="0" w:space="0" w:color="auto"/>
        <w:right w:val="none" w:sz="0" w:space="0" w:color="auto"/>
      </w:divBdr>
    </w:div>
    <w:div w:id="1163814005">
      <w:bodyDiv w:val="1"/>
      <w:marLeft w:val="0"/>
      <w:marRight w:val="0"/>
      <w:marTop w:val="0"/>
      <w:marBottom w:val="0"/>
      <w:divBdr>
        <w:top w:val="none" w:sz="0" w:space="0" w:color="auto"/>
        <w:left w:val="none" w:sz="0" w:space="0" w:color="auto"/>
        <w:bottom w:val="none" w:sz="0" w:space="0" w:color="auto"/>
        <w:right w:val="none" w:sz="0" w:space="0" w:color="auto"/>
      </w:divBdr>
    </w:div>
    <w:div w:id="1347945809">
      <w:bodyDiv w:val="1"/>
      <w:marLeft w:val="0"/>
      <w:marRight w:val="0"/>
      <w:marTop w:val="0"/>
      <w:marBottom w:val="0"/>
      <w:divBdr>
        <w:top w:val="none" w:sz="0" w:space="0" w:color="auto"/>
        <w:left w:val="none" w:sz="0" w:space="0" w:color="auto"/>
        <w:bottom w:val="none" w:sz="0" w:space="0" w:color="auto"/>
        <w:right w:val="none" w:sz="0" w:space="0" w:color="auto"/>
      </w:divBdr>
    </w:div>
    <w:div w:id="1394691987">
      <w:bodyDiv w:val="1"/>
      <w:marLeft w:val="0"/>
      <w:marRight w:val="0"/>
      <w:marTop w:val="0"/>
      <w:marBottom w:val="0"/>
      <w:divBdr>
        <w:top w:val="none" w:sz="0" w:space="0" w:color="auto"/>
        <w:left w:val="none" w:sz="0" w:space="0" w:color="auto"/>
        <w:bottom w:val="none" w:sz="0" w:space="0" w:color="auto"/>
        <w:right w:val="none" w:sz="0" w:space="0" w:color="auto"/>
      </w:divBdr>
    </w:div>
    <w:div w:id="14363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2.png@01DC1B63.30A627A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92DEB-BD5C-41FE-9B5F-CAAFB061081A}">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0C59CD14-6AEB-42E6-9945-0DE4855B1DDE}">
  <ds:schemaRefs>
    <ds:schemaRef ds:uri="http://schemas.microsoft.com/sharepoint/v3/contenttype/forms"/>
  </ds:schemaRefs>
</ds:datastoreItem>
</file>

<file path=customXml/itemProps3.xml><?xml version="1.0" encoding="utf-8"?>
<ds:datastoreItem xmlns:ds="http://schemas.openxmlformats.org/officeDocument/2006/customXml" ds:itemID="{D72E5BEC-6AF0-4C93-B77E-F049D204B234}">
  <ds:schemaRefs>
    <ds:schemaRef ds:uri="http://schemas.openxmlformats.org/officeDocument/2006/bibliography"/>
  </ds:schemaRefs>
</ds:datastoreItem>
</file>

<file path=customXml/itemProps4.xml><?xml version="1.0" encoding="utf-8"?>
<ds:datastoreItem xmlns:ds="http://schemas.openxmlformats.org/officeDocument/2006/customXml" ds:itemID="{D18648CD-63F7-4FE5-AC2D-F1BD66C54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Conti - ETRMA</dc:creator>
  <cp:keywords/>
  <dc:description/>
  <cp:lastModifiedBy>Konstantin Glukhenkiy</cp:lastModifiedBy>
  <cp:revision>13</cp:revision>
  <cp:lastPrinted>2025-09-01T15:27:00Z</cp:lastPrinted>
  <dcterms:created xsi:type="dcterms:W3CDTF">2025-09-01T15:24:00Z</dcterms:created>
  <dcterms:modified xsi:type="dcterms:W3CDTF">2025-09-01T19:14:00Z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Office_x0020_of_x0020_Origin">
    <vt:lpwstr/>
  </property>
  <property fmtid="{D5CDD505-2E9C-101B-9397-08002B2CF9AE}" pid="5" name="gba66df640194346a5267c50f24d4797">
    <vt:lpwstr/>
  </property>
  <property fmtid="{D5CDD505-2E9C-101B-9397-08002B2CF9AE}" pid="6" name="Office of Origin">
    <vt:lpwstr/>
  </property>
</Properties>
</file>