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492D4D39" w:rsidR="009E6CB7" w:rsidRPr="00D47EEA" w:rsidRDefault="009C0BD0" w:rsidP="009C0BD0">
            <w:pPr>
              <w:jc w:val="right"/>
            </w:pPr>
            <w:r w:rsidRPr="009C0BD0">
              <w:rPr>
                <w:sz w:val="40"/>
              </w:rPr>
              <w:t>ECE</w:t>
            </w:r>
            <w:r>
              <w:t>/TRANS/WP.29/2025/</w:t>
            </w:r>
            <w:r w:rsidR="00FF66F5">
              <w:t>1</w:t>
            </w:r>
            <w:r w:rsidR="0011352F">
              <w:t>4</w:t>
            </w:r>
            <w:r w:rsidR="007E2404">
              <w:t>3</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2C31FF9A" w:rsidR="009C0BD0" w:rsidRDefault="00232946" w:rsidP="009C0BD0">
            <w:pPr>
              <w:spacing w:line="240" w:lineRule="exact"/>
            </w:pPr>
            <w:r>
              <w:t>28</w:t>
            </w:r>
            <w:r w:rsidR="009C0BD0">
              <w:t xml:space="preserve"> August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77777777" w:rsidR="00DD6CDA" w:rsidRPr="001D703D" w:rsidRDefault="00DD6CDA" w:rsidP="00DD6CDA">
      <w:pPr>
        <w:tabs>
          <w:tab w:val="center" w:pos="4819"/>
        </w:tabs>
        <w:spacing w:before="120"/>
        <w:rPr>
          <w:b/>
          <w:lang w:val="en-US"/>
        </w:rPr>
      </w:pPr>
      <w:r>
        <w:rPr>
          <w:b/>
          <w:lang w:val="en-US"/>
        </w:rPr>
        <w:t xml:space="preserve">197th </w:t>
      </w:r>
      <w:r w:rsidRPr="001D703D">
        <w:rPr>
          <w:b/>
          <w:lang w:val="en-US"/>
        </w:rPr>
        <w:t>session</w:t>
      </w:r>
    </w:p>
    <w:p w14:paraId="6CA85634" w14:textId="77777777" w:rsidR="00DD6CDA" w:rsidRPr="001D703D" w:rsidRDefault="00DD6CDA" w:rsidP="00DD6CDA">
      <w:pPr>
        <w:rPr>
          <w:lang w:val="en-US"/>
        </w:rPr>
      </w:pPr>
      <w:r>
        <w:rPr>
          <w:lang w:val="en-US"/>
        </w:rPr>
        <w:t>Geneva, 11</w:t>
      </w:r>
      <w:r w:rsidRPr="000E31C1">
        <w:rPr>
          <w:bCs/>
        </w:rPr>
        <w:t>–</w:t>
      </w:r>
      <w:r>
        <w:rPr>
          <w:bCs/>
        </w:rPr>
        <w:t>14</w:t>
      </w:r>
      <w:r w:rsidRPr="000E31C1">
        <w:rPr>
          <w:bCs/>
        </w:rPr>
        <w:t xml:space="preserve"> </w:t>
      </w:r>
      <w:r>
        <w:rPr>
          <w:bCs/>
        </w:rPr>
        <w:t>November</w:t>
      </w:r>
      <w:r w:rsidRPr="000E31C1">
        <w:rPr>
          <w:bCs/>
        </w:rPr>
        <w:t xml:space="preserve"> 202</w:t>
      </w:r>
      <w:r>
        <w:rPr>
          <w:bCs/>
        </w:rPr>
        <w:t>5</w:t>
      </w:r>
    </w:p>
    <w:p w14:paraId="10FFFB4F" w14:textId="79CD42A5" w:rsidR="00DD6CDA" w:rsidRPr="001D703D" w:rsidRDefault="00DD6CDA" w:rsidP="00DD6CDA">
      <w:r w:rsidRPr="001D703D">
        <w:t>Ite</w:t>
      </w:r>
      <w:r w:rsidRPr="0012673E">
        <w:t>m 4.</w:t>
      </w:r>
      <w:r w:rsidR="00FF66F5">
        <w:t>10</w:t>
      </w:r>
      <w:r w:rsidR="00D46FEC">
        <w:t>.</w:t>
      </w:r>
      <w:r w:rsidR="007E2404">
        <w:t>7</w:t>
      </w:r>
      <w:r>
        <w:t xml:space="preserve"> </w:t>
      </w:r>
      <w:r w:rsidRPr="001D703D">
        <w:t>of the provisional agenda</w:t>
      </w:r>
    </w:p>
    <w:p w14:paraId="4758C743" w14:textId="77777777" w:rsidR="00DD6CDA" w:rsidRDefault="00DD6CDA" w:rsidP="00DD6CDA">
      <w:pPr>
        <w:rPr>
          <w:b/>
        </w:rPr>
      </w:pPr>
      <w:r>
        <w:rPr>
          <w:b/>
        </w:rPr>
        <w:t>1958 Agreement:</w:t>
      </w:r>
    </w:p>
    <w:p w14:paraId="607CEDA6" w14:textId="748D3E99" w:rsidR="00DD6CDA" w:rsidRDefault="00A00A3F" w:rsidP="00D46FEC">
      <w:pPr>
        <w:rPr>
          <w:b/>
          <w:bCs/>
        </w:rPr>
      </w:pPr>
      <w:r w:rsidRPr="00A00A3F">
        <w:rPr>
          <w:b/>
          <w:bCs/>
        </w:rPr>
        <w:t>Consideration of draft amendments to existing UN Regulations submitted by GRVA</w:t>
      </w:r>
    </w:p>
    <w:p w14:paraId="33B5E79A" w14:textId="68945162" w:rsidR="00DD6CDA" w:rsidRDefault="006C6450" w:rsidP="006E2998">
      <w:pPr>
        <w:pStyle w:val="HChG"/>
        <w:ind w:left="1124" w:right="1138" w:firstLine="0"/>
      </w:pPr>
      <w:r w:rsidRPr="00920590">
        <w:t xml:space="preserve">Proposal for </w:t>
      </w:r>
      <w:r w:rsidR="00A5520F">
        <w:t xml:space="preserve">Supplement 3 </w:t>
      </w:r>
      <w:r w:rsidRPr="00920590">
        <w:t xml:space="preserve">to UN Regulation No. </w:t>
      </w:r>
      <w:r>
        <w:t>1</w:t>
      </w:r>
      <w:r w:rsidR="00A5520F">
        <w:t>71</w:t>
      </w:r>
      <w:r>
        <w:t xml:space="preserve"> </w:t>
      </w:r>
      <w:r w:rsidRPr="00920590">
        <w:t>(</w:t>
      </w:r>
      <w:r w:rsidR="00BB1DEE">
        <w:t>Driver Control Assistance System</w:t>
      </w:r>
      <w:r w:rsidRPr="00920590">
        <w:t>)</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3B5C4A16" w:rsidR="00DD6CDA" w:rsidRDefault="00DD6CDA" w:rsidP="008218DD">
      <w:pPr>
        <w:pStyle w:val="SingleTxtG"/>
        <w:rPr>
          <w:lang w:val="en-US"/>
        </w:rPr>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 xml:space="preserve">twenty-second </w:t>
      </w:r>
      <w:r>
        <w:rPr>
          <w:lang w:val="en-US"/>
        </w:rPr>
        <w:t>session (</w:t>
      </w:r>
      <w:r w:rsidR="008218DD" w:rsidRPr="008218DD">
        <w:t>ECE/TRANS/WP.29/GRVA/22</w:t>
      </w:r>
      <w:r>
        <w:rPr>
          <w:lang w:val="en-US"/>
        </w:rPr>
        <w:t>).</w:t>
      </w:r>
      <w:r>
        <w:rPr>
          <w:lang w:val="en-US" w:eastAsia="en-GB"/>
        </w:rPr>
        <w:t xml:space="preserve"> </w:t>
      </w:r>
      <w:r>
        <w:rPr>
          <w:lang w:eastAsia="en-GB"/>
        </w:rPr>
        <w:t>It is based on</w:t>
      </w:r>
      <w:r w:rsidR="00D6608D" w:rsidRPr="00D6608D">
        <w:t xml:space="preserve"> </w:t>
      </w:r>
      <w:r w:rsidR="00F86873" w:rsidRPr="00920590">
        <w:t>ECE/TRANS/WP.29/GRVA/2025/</w:t>
      </w:r>
      <w:r w:rsidR="00BB1DEE">
        <w:t xml:space="preserve">31 and </w:t>
      </w:r>
      <w:r w:rsidR="00BB1DEE" w:rsidRPr="00920590">
        <w:t>ECE/TRANS/WP.29/GRVA/2025</w:t>
      </w:r>
      <w:r w:rsidR="00BB1DEE">
        <w:t>/30 as amended by GRVA-</w:t>
      </w:r>
      <w:r w:rsidR="007E2404">
        <w:t>22-18</w:t>
      </w:r>
      <w:r>
        <w:rPr>
          <w:lang w:val="en-US"/>
        </w:rPr>
        <w:t xml:space="preserve">. It is submitted to the World Forum for Harmonization of Vehicle Regulations (WP.29) </w:t>
      </w:r>
      <w:r w:rsidR="00AE6D41">
        <w:rPr>
          <w:lang w:val="en-US"/>
        </w:rPr>
        <w:t>and to the Administrative Committee (AC.1) for consideration at their November 2025 sessions</w:t>
      </w:r>
      <w:r>
        <w:rPr>
          <w:lang w:val="en-US"/>
        </w:rPr>
        <w:t>.</w:t>
      </w:r>
    </w:p>
    <w:p w14:paraId="18102EED" w14:textId="3AD9D001" w:rsidR="00621E53" w:rsidRDefault="00621E53">
      <w:pPr>
        <w:rPr>
          <w:lang w:val="en-US" w:eastAsia="en-US"/>
        </w:rPr>
      </w:pPr>
      <w:r>
        <w:rPr>
          <w:lang w:val="en-US" w:eastAsia="en-US"/>
        </w:rPr>
        <w:br w:type="page"/>
      </w:r>
    </w:p>
    <w:p w14:paraId="34691FFB" w14:textId="53B7780C" w:rsidR="001B2040" w:rsidRPr="001B2040" w:rsidRDefault="001B2040" w:rsidP="001B2040">
      <w:pPr>
        <w:pStyle w:val="SingleTxtG"/>
        <w:tabs>
          <w:tab w:val="clear" w:pos="1701"/>
          <w:tab w:val="clear" w:pos="2268"/>
        </w:tabs>
        <w:ind w:left="2268" w:hanging="1134"/>
      </w:pPr>
      <w:r w:rsidRPr="001B2040">
        <w:rPr>
          <w:i/>
          <w:iCs/>
        </w:rPr>
        <w:lastRenderedPageBreak/>
        <w:t xml:space="preserve">Table of Contents, </w:t>
      </w:r>
      <w:r w:rsidR="00095827">
        <w:t>insert</w:t>
      </w:r>
      <w:r w:rsidRPr="001B2040">
        <w:t xml:space="preserve"> a reference to a new Annex 6:</w:t>
      </w:r>
    </w:p>
    <w:p w14:paraId="3FFC9CBA" w14:textId="66D7BEEA" w:rsidR="001B2040" w:rsidRPr="001B2040" w:rsidRDefault="00095827" w:rsidP="001B2040">
      <w:pPr>
        <w:pStyle w:val="SingleTxtG"/>
        <w:tabs>
          <w:tab w:val="clear" w:pos="1701"/>
          <w:tab w:val="clear" w:pos="2268"/>
        </w:tabs>
        <w:ind w:left="2268" w:hanging="1134"/>
        <w:rPr>
          <w:b/>
          <w:bCs/>
        </w:rPr>
      </w:pPr>
      <w:r w:rsidRPr="00095827">
        <w:t>"</w:t>
      </w:r>
      <w:r w:rsidR="001B2040" w:rsidRPr="001B2040">
        <w:rPr>
          <w:b/>
          <w:bCs/>
        </w:rPr>
        <w:t>6</w:t>
      </w:r>
      <w:r w:rsidR="001B2040" w:rsidRPr="001B2040">
        <w:rPr>
          <w:b/>
          <w:bCs/>
        </w:rPr>
        <w:tab/>
        <w:t xml:space="preserve">Guidance for data exchange via DETA in accordance with </w:t>
      </w:r>
      <w:r w:rsidR="001B2040" w:rsidRPr="001B2040">
        <w:rPr>
          <w:b/>
          <w:bCs/>
        </w:rPr>
        <w:br/>
        <w:t>paragraph 7.2.2.2.</w:t>
      </w:r>
      <w:r w:rsidRPr="00095827">
        <w:rPr>
          <w:rFonts w:eastAsia="Calibri"/>
        </w:rPr>
        <w:t>"</w:t>
      </w:r>
      <w:r w:rsidR="001B2040" w:rsidRPr="001B2040">
        <w:rPr>
          <w:b/>
          <w:bCs/>
        </w:rPr>
        <w:tab/>
      </w:r>
    </w:p>
    <w:p w14:paraId="16509995" w14:textId="77777777" w:rsidR="00416B91" w:rsidRDefault="00416B91" w:rsidP="00416B91">
      <w:pPr>
        <w:spacing w:after="120"/>
        <w:ind w:left="1134" w:right="1134"/>
        <w:jc w:val="both"/>
        <w:rPr>
          <w:rFonts w:eastAsia="SimSun"/>
          <w:lang w:eastAsia="zh-CN"/>
        </w:rPr>
      </w:pPr>
      <w:r>
        <w:rPr>
          <w:rFonts w:eastAsia="SimSun"/>
          <w:i/>
          <w:iCs/>
          <w:lang w:eastAsia="zh-CN"/>
        </w:rPr>
        <w:t xml:space="preserve">Paragraphs 8. and 9. of the Introduction, </w:t>
      </w:r>
      <w:r>
        <w:rPr>
          <w:rFonts w:eastAsia="SimSun"/>
          <w:lang w:eastAsia="zh-CN"/>
        </w:rPr>
        <w:t>amend to read:</w:t>
      </w:r>
    </w:p>
    <w:p w14:paraId="2D20A12D" w14:textId="3AA5FE9E" w:rsidR="00416B91" w:rsidRDefault="00416B91" w:rsidP="00416B91">
      <w:pPr>
        <w:pStyle w:val="SingleTxtG"/>
      </w:pPr>
      <w:r w:rsidRPr="00416B91">
        <w:rPr>
          <w:color w:val="000000" w:themeColor="text1"/>
        </w:rPr>
        <w:t>"8.</w:t>
      </w:r>
      <w:r w:rsidRPr="00416B91">
        <w:rPr>
          <w:color w:val="000000" w:themeColor="text1"/>
        </w:rPr>
        <w:tab/>
        <w:t xml:space="preserve">Depending on the use case, some DCAS may be able to propose driving manoeuvres. </w:t>
      </w:r>
      <w:r w:rsidRPr="00416B91">
        <w:t>The system shall aim not to propose manoeuvres that would violate national traffic rules. When manoeuvr</w:t>
      </w:r>
      <w:r>
        <w:t>es are initiated by the driver, DCAS only assists the driver in operating the vehicle without ensuring compliance with national traffic rules. In either case, the responsibility remains with the driver.</w:t>
      </w:r>
    </w:p>
    <w:p w14:paraId="57D41017" w14:textId="69C4549C" w:rsidR="00416B91" w:rsidRDefault="00416B91" w:rsidP="00416B91">
      <w:pPr>
        <w:spacing w:after="120"/>
        <w:ind w:left="1134" w:right="1134"/>
        <w:jc w:val="both"/>
        <w:rPr>
          <w:rFonts w:eastAsia="SimSun"/>
          <w:lang w:eastAsia="zh-CN"/>
        </w:rPr>
      </w:pPr>
      <w:r>
        <w:t>9.</w:t>
      </w:r>
      <w:r>
        <w:tab/>
        <w:t>It is recognized that operation in compliance with traffic rules related to driver-confirmed manoeuvres might not be fully achievable due to the complexity and variety of rules across the different countries of operation. The driver’s continued involvement in the driving task is deemed to compensate for this."</w:t>
      </w:r>
    </w:p>
    <w:p w14:paraId="216788AF" w14:textId="0E98DFF4" w:rsidR="00304E54" w:rsidRPr="00304E54" w:rsidRDefault="00304E54" w:rsidP="00304E54">
      <w:pPr>
        <w:pStyle w:val="SingleTxtG"/>
        <w:ind w:left="2268" w:hanging="1134"/>
      </w:pPr>
      <w:r w:rsidRPr="00304E54">
        <w:rPr>
          <w:i/>
          <w:iCs/>
        </w:rPr>
        <w:t>Paragraph 5.3.7.2.1.1.</w:t>
      </w:r>
      <w:r>
        <w:rPr>
          <w:i/>
          <w:iCs/>
        </w:rPr>
        <w:t>(b)</w:t>
      </w:r>
      <w:r w:rsidRPr="00304E54">
        <w:rPr>
          <w:i/>
          <w:iCs/>
        </w:rPr>
        <w:t xml:space="preserve">, </w:t>
      </w:r>
      <w:r w:rsidRPr="00304E54">
        <w:t>amend to read:</w:t>
      </w:r>
    </w:p>
    <w:p w14:paraId="5E8CDB9E" w14:textId="2B4069BF" w:rsidR="00CC08C9" w:rsidRDefault="008B1965" w:rsidP="00CC08C9">
      <w:pPr>
        <w:adjustRightInd w:val="0"/>
        <w:snapToGrid w:val="0"/>
        <w:spacing w:after="120" w:line="240" w:lineRule="auto"/>
        <w:ind w:left="2835" w:right="1134" w:hanging="567"/>
        <w:jc w:val="both"/>
        <w:rPr>
          <w:rFonts w:eastAsia="Calibri" w:cs="Arial"/>
          <w:strike/>
        </w:rPr>
      </w:pPr>
      <w:r>
        <w:rPr>
          <w:rFonts w:eastAsia="Calibri"/>
        </w:rPr>
        <w:t>"</w:t>
      </w:r>
      <w:r>
        <w:rPr>
          <w:rFonts w:eastAsia="Calibri" w:cs="Arial"/>
        </w:rPr>
        <w:t xml:space="preserve"> </w:t>
      </w:r>
      <w:r w:rsidR="00CC08C9">
        <w:rPr>
          <w:rFonts w:eastAsia="Calibri" w:cs="Arial"/>
        </w:rPr>
        <w:t>(b)</w:t>
      </w:r>
      <w:r w:rsidR="00CC08C9">
        <w:rPr>
          <w:rFonts w:eastAsia="Calibri" w:cs="Arial"/>
        </w:rPr>
        <w:tab/>
        <w:t>has acknowledged the system’s intention as needed for a driver-confirmed manoeuvr</w:t>
      </w:r>
      <w:r>
        <w:rPr>
          <w:rFonts w:eastAsia="Calibri" w:cs="Arial"/>
        </w:rPr>
        <w:t>e.</w:t>
      </w:r>
      <w:r>
        <w:rPr>
          <w:rFonts w:eastAsia="Calibri"/>
        </w:rPr>
        <w:t>"</w:t>
      </w:r>
    </w:p>
    <w:p w14:paraId="3B18EE36" w14:textId="712AFCD7" w:rsidR="00742039" w:rsidRDefault="00CC08C9" w:rsidP="001B2040">
      <w:pPr>
        <w:pStyle w:val="SingleTxtG"/>
        <w:tabs>
          <w:tab w:val="clear" w:pos="1701"/>
          <w:tab w:val="clear" w:pos="2268"/>
        </w:tabs>
        <w:ind w:left="2268" w:hanging="1134"/>
      </w:pPr>
      <w:r w:rsidRPr="00304E54">
        <w:rPr>
          <w:i/>
          <w:iCs/>
        </w:rPr>
        <w:t>Paragraph 5.3.7.2.1.1.</w:t>
      </w:r>
      <w:r>
        <w:rPr>
          <w:i/>
          <w:iCs/>
        </w:rPr>
        <w:t>(c)</w:t>
      </w:r>
      <w:r w:rsidRPr="00304E54">
        <w:rPr>
          <w:i/>
          <w:iCs/>
        </w:rPr>
        <w:t>,</w:t>
      </w:r>
      <w:r>
        <w:rPr>
          <w:i/>
          <w:iCs/>
        </w:rPr>
        <w:t xml:space="preserve"> </w:t>
      </w:r>
      <w:r>
        <w:t>shall be deleted.</w:t>
      </w:r>
    </w:p>
    <w:p w14:paraId="57B2088A" w14:textId="10A3BFD2" w:rsidR="006E3250" w:rsidRDefault="006E3250" w:rsidP="006E3250">
      <w:pPr>
        <w:spacing w:after="120"/>
        <w:ind w:left="1134" w:right="1134"/>
        <w:jc w:val="both"/>
        <w:rPr>
          <w:rFonts w:eastAsia="SimSun"/>
          <w:lang w:eastAsia="zh-CN"/>
        </w:rPr>
      </w:pPr>
      <w:r>
        <w:rPr>
          <w:rFonts w:eastAsia="SimSun"/>
          <w:i/>
          <w:iCs/>
          <w:lang w:eastAsia="zh-CN"/>
        </w:rPr>
        <w:t xml:space="preserve">Paragraph 5.3.7.2.4., </w:t>
      </w:r>
      <w:r>
        <w:rPr>
          <w:rFonts w:eastAsia="SimSun"/>
          <w:lang w:eastAsia="zh-CN"/>
        </w:rPr>
        <w:t>amend to read (including the deletion of paragraph 5.3.7.2.4.1</w:t>
      </w:r>
      <w:r w:rsidR="00095827">
        <w:rPr>
          <w:rFonts w:eastAsia="SimSun"/>
          <w:lang w:eastAsia="zh-CN"/>
        </w:rPr>
        <w:t>)</w:t>
      </w:r>
      <w:r>
        <w:rPr>
          <w:rFonts w:eastAsia="SimSun"/>
          <w:lang w:eastAsia="zh-CN"/>
        </w:rPr>
        <w:t>:</w:t>
      </w:r>
    </w:p>
    <w:p w14:paraId="63FE88FF" w14:textId="77777777" w:rsidR="006E3250" w:rsidRDefault="006E3250" w:rsidP="006E3250">
      <w:pPr>
        <w:adjustRightInd w:val="0"/>
        <w:snapToGrid w:val="0"/>
        <w:spacing w:after="120" w:line="240" w:lineRule="auto"/>
        <w:ind w:left="2268" w:right="1134" w:hanging="1098"/>
        <w:jc w:val="both"/>
        <w:rPr>
          <w:rFonts w:eastAsia="Calibri" w:cs="Arial"/>
        </w:rPr>
      </w:pPr>
      <w:r>
        <w:rPr>
          <w:rFonts w:eastAsia="Calibri"/>
        </w:rPr>
        <w:t>"</w:t>
      </w:r>
      <w:r>
        <w:rPr>
          <w:rFonts w:eastAsia="Calibri" w:cs="Arial"/>
        </w:rPr>
        <w:t>5.3.7.2.4.</w:t>
      </w:r>
      <w:r>
        <w:rPr>
          <w:rFonts w:eastAsia="Calibri" w:cs="Arial"/>
        </w:rPr>
        <w:tab/>
        <w:t>General requirements for system-initiated manoeuvres</w:t>
      </w:r>
    </w:p>
    <w:p w14:paraId="78EA73DB" w14:textId="675394BA" w:rsidR="006E3250" w:rsidRPr="00095827" w:rsidRDefault="006E3250" w:rsidP="00095827">
      <w:pPr>
        <w:spacing w:after="120"/>
        <w:ind w:left="2268" w:right="1134"/>
        <w:jc w:val="both"/>
        <w:rPr>
          <w:rFonts w:eastAsia="Calibri" w:cs="Arial"/>
        </w:rPr>
      </w:pPr>
      <w:r w:rsidRPr="006E3250">
        <w:rPr>
          <w:rFonts w:eastAsia="Calibri" w:cs="Arial"/>
        </w:rPr>
        <w:tab/>
        <w:t>Systems that include any feature that performs system-initiated manoeuvres are not permitted to be approved to this Regulation</w:t>
      </w:r>
      <w:r>
        <w:rPr>
          <w:rFonts w:eastAsia="Calibri" w:cs="Arial"/>
        </w:rPr>
        <w:t>.</w:t>
      </w:r>
      <w:r>
        <w:rPr>
          <w:rFonts w:eastAsia="Calibri"/>
        </w:rPr>
        <w:t>"</w:t>
      </w:r>
    </w:p>
    <w:p w14:paraId="556B9730" w14:textId="77777777" w:rsidR="006E3250" w:rsidRDefault="006E3250" w:rsidP="006E3250">
      <w:pPr>
        <w:spacing w:after="120"/>
        <w:ind w:left="1134" w:right="1134"/>
        <w:jc w:val="both"/>
        <w:rPr>
          <w:rFonts w:eastAsia="SimSun"/>
          <w:lang w:eastAsia="zh-CN"/>
        </w:rPr>
      </w:pPr>
      <w:r>
        <w:rPr>
          <w:rFonts w:eastAsia="SimSun"/>
          <w:i/>
          <w:iCs/>
          <w:lang w:eastAsia="zh-CN"/>
        </w:rPr>
        <w:t xml:space="preserve">Paragraph 5.3.7.3.2., </w:t>
      </w:r>
      <w:r>
        <w:rPr>
          <w:rFonts w:eastAsia="SimSun"/>
          <w:lang w:eastAsia="zh-CN"/>
        </w:rPr>
        <w:t>amend to read:</w:t>
      </w:r>
    </w:p>
    <w:p w14:paraId="1B93E561" w14:textId="77777777" w:rsidR="006E3250" w:rsidRDefault="006E3250" w:rsidP="006E3250">
      <w:pPr>
        <w:spacing w:after="120"/>
        <w:ind w:left="2268" w:right="1134" w:hanging="1134"/>
        <w:jc w:val="both"/>
        <w:rPr>
          <w:rFonts w:eastAsia="SimSun"/>
          <w:lang w:eastAsia="zh-CN"/>
        </w:rPr>
      </w:pPr>
      <w:r>
        <w:rPr>
          <w:rFonts w:eastAsia="SimSun"/>
          <w:lang w:eastAsia="zh-CN"/>
        </w:rPr>
        <w:t>"5.3.7.3.2.</w:t>
      </w:r>
      <w:r>
        <w:rPr>
          <w:rFonts w:eastAsia="SimSun"/>
          <w:lang w:eastAsia="zh-CN"/>
        </w:rPr>
        <w:tab/>
      </w:r>
      <w:r>
        <w:rPr>
          <w:rFonts w:eastAsia="SimSun"/>
          <w:lang w:eastAsia="zh-CN"/>
        </w:rPr>
        <w:tab/>
        <w:t xml:space="preserve">Where the system is equipped with a driver-confirmed </w:t>
      </w:r>
      <w:r>
        <w:rPr>
          <w:rFonts w:eastAsia="SimSun"/>
          <w:strike/>
          <w:lang w:eastAsia="zh-CN"/>
        </w:rPr>
        <w:t>or system-initiated</w:t>
      </w:r>
      <w:r>
        <w:rPr>
          <w:rFonts w:eastAsia="SimSun"/>
          <w:lang w:eastAsia="zh-CN"/>
        </w:rPr>
        <w:t xml:space="preserve"> lane change feature, the RMF shall be capable of performing lane changes, in compliance with the technical requirements for systems with the purpose of bringing the vehicle to a safe stop outside its own lane of travel of the 04 or later series of amendments to UN Regulation No. 79, during an intervention on a highway to bring the vehicle towards a target stop area in a slower or emergency lane."</w:t>
      </w:r>
    </w:p>
    <w:p w14:paraId="04E89A7E" w14:textId="19A230A3" w:rsidR="008B2FE7" w:rsidRPr="008B2FE7" w:rsidRDefault="008B2FE7" w:rsidP="008B2FE7">
      <w:pPr>
        <w:pStyle w:val="SingleTxtG"/>
        <w:ind w:left="2268" w:hanging="1134"/>
      </w:pPr>
      <w:r w:rsidRPr="008B2FE7">
        <w:rPr>
          <w:i/>
          <w:iCs/>
        </w:rPr>
        <w:t>Paragraph 5.5.4.1.1.</w:t>
      </w:r>
      <w:r>
        <w:rPr>
          <w:i/>
          <w:iCs/>
        </w:rPr>
        <w:t>(g)</w:t>
      </w:r>
      <w:r w:rsidRPr="008B2FE7">
        <w:rPr>
          <w:i/>
          <w:iCs/>
        </w:rPr>
        <w:t xml:space="preserve">, </w:t>
      </w:r>
      <w:r w:rsidRPr="008B2FE7">
        <w:t>amend to read:</w:t>
      </w:r>
    </w:p>
    <w:p w14:paraId="301FCFA0" w14:textId="744EB15B" w:rsidR="001662D7" w:rsidRDefault="001662D7" w:rsidP="001662D7">
      <w:pPr>
        <w:pStyle w:val="SingleTxtG"/>
        <w:ind w:left="2268"/>
      </w:pPr>
      <w:r w:rsidRPr="001662D7">
        <w:t>"(g)</w:t>
      </w:r>
      <w:r w:rsidRPr="001662D7">
        <w:tab/>
        <w:t>Intended driver-confirmed or system-initiated manoeuvres."</w:t>
      </w:r>
    </w:p>
    <w:p w14:paraId="750E2906" w14:textId="47DAB287" w:rsidR="00DB493F" w:rsidRPr="00DB493F" w:rsidRDefault="00DB493F" w:rsidP="00DB493F">
      <w:pPr>
        <w:pStyle w:val="SingleTxtG"/>
      </w:pPr>
      <w:r w:rsidRPr="00DB493F">
        <w:rPr>
          <w:i/>
          <w:iCs/>
        </w:rPr>
        <w:t xml:space="preserve">Paragraph 5.5.4.1.9., </w:t>
      </w:r>
      <w:r w:rsidRPr="00DB493F">
        <w:t>amend to read</w:t>
      </w:r>
      <w:r>
        <w:t xml:space="preserve"> (including the deletion of </w:t>
      </w:r>
      <w:r w:rsidR="00586461">
        <w:t>the subparagraphs 1 and 2)</w:t>
      </w:r>
      <w:r w:rsidRPr="00DB493F">
        <w:t>:</w:t>
      </w:r>
    </w:p>
    <w:p w14:paraId="05D1846C" w14:textId="1465CD08" w:rsidR="002E6EFF" w:rsidRDefault="00DB493F" w:rsidP="00DB493F">
      <w:pPr>
        <w:pStyle w:val="SingleTxtG"/>
      </w:pPr>
      <w:r w:rsidRPr="00DB493F">
        <w:t>"5.5.4.1.9.</w:t>
      </w:r>
      <w:r w:rsidRPr="00DB493F">
        <w:tab/>
        <w:t>(Reserved)</w:t>
      </w:r>
      <w:r w:rsidR="00586461" w:rsidRPr="00DB493F">
        <w:t>"</w:t>
      </w:r>
    </w:p>
    <w:p w14:paraId="5F16B220" w14:textId="05DD6FA7" w:rsidR="007A17BA" w:rsidRPr="007A17BA" w:rsidRDefault="007A17BA" w:rsidP="007A17BA">
      <w:pPr>
        <w:pStyle w:val="SingleTxtG"/>
      </w:pPr>
      <w:r w:rsidRPr="007A17BA">
        <w:rPr>
          <w:i/>
          <w:iCs/>
        </w:rPr>
        <w:t xml:space="preserve">Paragraph 6.2.9.2., </w:t>
      </w:r>
      <w:r w:rsidRPr="007A17BA">
        <w:t>amend to read</w:t>
      </w:r>
      <w:r>
        <w:t xml:space="preserve"> (including the deletion of the subparagraphs 1)</w:t>
      </w:r>
      <w:r w:rsidRPr="007A17BA">
        <w:t>:</w:t>
      </w:r>
    </w:p>
    <w:p w14:paraId="68CC0BD1" w14:textId="6639F999" w:rsidR="00DB493F" w:rsidRDefault="007A17BA" w:rsidP="007A17BA">
      <w:pPr>
        <w:pStyle w:val="SingleTxtG"/>
      </w:pPr>
      <w:r w:rsidRPr="007A17BA">
        <w:t>"6.2.9.2.</w:t>
      </w:r>
      <w:r w:rsidR="00F110CB">
        <w:tab/>
      </w:r>
      <w:r w:rsidR="00F110CB" w:rsidRPr="00DB493F">
        <w:t>(Reserved)"</w:t>
      </w:r>
    </w:p>
    <w:p w14:paraId="23BA5F95" w14:textId="302E7AED" w:rsidR="00F110CB" w:rsidRDefault="00AB47F3" w:rsidP="007A17BA">
      <w:pPr>
        <w:pStyle w:val="SingleTxtG"/>
      </w:pPr>
      <w:r>
        <w:rPr>
          <w:i/>
          <w:iCs/>
        </w:rPr>
        <w:t>Paragraph</w:t>
      </w:r>
      <w:r w:rsidR="00B45371">
        <w:rPr>
          <w:i/>
          <w:iCs/>
        </w:rPr>
        <w:t>s</w:t>
      </w:r>
      <w:r>
        <w:rPr>
          <w:i/>
          <w:iCs/>
        </w:rPr>
        <w:t xml:space="preserve"> 9.1.1</w:t>
      </w:r>
      <w:r w:rsidR="003B281C">
        <w:rPr>
          <w:i/>
          <w:iCs/>
        </w:rPr>
        <w:t>. and 9.1.2</w:t>
      </w:r>
      <w:r>
        <w:rPr>
          <w:i/>
          <w:iCs/>
        </w:rPr>
        <w:t xml:space="preserve">, table, row </w:t>
      </w:r>
      <w:r w:rsidR="00B45371">
        <w:rPr>
          <w:i/>
          <w:iCs/>
        </w:rPr>
        <w:t>“System initiated lane change”</w:t>
      </w:r>
      <w:r w:rsidR="003B281C">
        <w:rPr>
          <w:i/>
          <w:iCs/>
        </w:rPr>
        <w:t xml:space="preserve">, </w:t>
      </w:r>
      <w:r w:rsidR="003B281C">
        <w:t>shall be deleted.</w:t>
      </w:r>
    </w:p>
    <w:p w14:paraId="6DD7055A" w14:textId="2B02303A" w:rsidR="00146536" w:rsidRDefault="00146536" w:rsidP="00146536">
      <w:pPr>
        <w:pStyle w:val="SingleTxtG"/>
      </w:pPr>
      <w:r w:rsidRPr="00146536">
        <w:rPr>
          <w:i/>
          <w:iCs/>
        </w:rPr>
        <w:t xml:space="preserve">Paragraph 2.1.8. of Appendix 2 to Annex 3, </w:t>
      </w:r>
      <w:r w:rsidRPr="00146536">
        <w:t>shall be delete</w:t>
      </w:r>
      <w:r>
        <w:t>d.</w:t>
      </w:r>
    </w:p>
    <w:p w14:paraId="74C6B119" w14:textId="31650916" w:rsidR="00991102" w:rsidRPr="00991102" w:rsidRDefault="00991102" w:rsidP="00991102">
      <w:pPr>
        <w:pStyle w:val="SingleTxtG"/>
      </w:pPr>
      <w:r w:rsidRPr="00991102">
        <w:rPr>
          <w:i/>
          <w:iCs/>
        </w:rPr>
        <w:t xml:space="preserve">Paragraph 3 of Appendix 4 to Annex 3, </w:t>
      </w:r>
      <w:r w:rsidRPr="00991102">
        <w:t>amend to read:</w:t>
      </w:r>
    </w:p>
    <w:p w14:paraId="058504A5" w14:textId="7FC3284D" w:rsidR="00991102" w:rsidRDefault="00991102" w:rsidP="008C66E5">
      <w:pPr>
        <w:pStyle w:val="SingleTxtG"/>
      </w:pPr>
      <w:r w:rsidRPr="00991102">
        <w:t>"3.</w:t>
      </w:r>
      <w:r w:rsidRPr="00991102">
        <w:tab/>
        <w:t>System’s ability to ensure safe operation when assisting lane changes (applicable to</w:t>
      </w:r>
      <w:r w:rsidR="00CF2143">
        <w:t xml:space="preserve"> </w:t>
      </w:r>
      <w:r w:rsidRPr="00991102">
        <w:t xml:space="preserve">driver-initiated lane </w:t>
      </w:r>
      <w:proofErr w:type="gramStart"/>
      <w:r w:rsidRPr="00991102">
        <w:t>changes)</w:t>
      </w:r>
      <w:r w:rsidR="008C66E5">
        <w:t>…</w:t>
      </w:r>
      <w:proofErr w:type="gramEnd"/>
      <w:r w:rsidR="008C66E5" w:rsidRPr="00991102">
        <w:t>"</w:t>
      </w:r>
    </w:p>
    <w:p w14:paraId="5025AA43" w14:textId="52A6AAEE" w:rsidR="00621B3A" w:rsidRPr="00991102" w:rsidRDefault="00621B3A" w:rsidP="00621B3A">
      <w:pPr>
        <w:pStyle w:val="SingleTxtG"/>
      </w:pPr>
      <w:r w:rsidRPr="00991102">
        <w:rPr>
          <w:i/>
          <w:iCs/>
        </w:rPr>
        <w:t xml:space="preserve">Paragraph </w:t>
      </w:r>
      <w:r>
        <w:rPr>
          <w:i/>
          <w:iCs/>
        </w:rPr>
        <w:t>4</w:t>
      </w:r>
      <w:r w:rsidRPr="00991102">
        <w:rPr>
          <w:i/>
          <w:iCs/>
        </w:rPr>
        <w:t xml:space="preserve"> of Appendix 4 to Annex 3, </w:t>
      </w:r>
      <w:r w:rsidRPr="00991102">
        <w:t>amend to read:</w:t>
      </w:r>
    </w:p>
    <w:p w14:paraId="4AFE78A2" w14:textId="0DB763C4" w:rsidR="003F37CD" w:rsidRDefault="008C66E5" w:rsidP="003F37CD">
      <w:pPr>
        <w:pStyle w:val="SingleTxtG"/>
        <w:tabs>
          <w:tab w:val="left" w:pos="708"/>
        </w:tabs>
        <w:ind w:left="1701" w:hanging="567"/>
      </w:pPr>
      <w:r w:rsidRPr="00991102">
        <w:t>"</w:t>
      </w:r>
      <w:r w:rsidR="003F37CD">
        <w:t>4.</w:t>
      </w:r>
      <w:r w:rsidR="003F37CD">
        <w:tab/>
        <w:t xml:space="preserve">The system’s ability to safely perform other driver-initiated manoeuvres in </w:t>
      </w:r>
      <w:r w:rsidR="003F37CD">
        <w:rPr>
          <w:lang w:eastAsia="en-GB"/>
        </w:rPr>
        <w:t>non-highway</w:t>
      </w:r>
      <w:r w:rsidR="003F37CD">
        <w:t xml:space="preserve"> environments </w:t>
      </w:r>
      <w:r>
        <w:t>…</w:t>
      </w:r>
      <w:r w:rsidRPr="00991102">
        <w:t>"</w:t>
      </w:r>
    </w:p>
    <w:p w14:paraId="17E005AC" w14:textId="1D8AE852" w:rsidR="00915DC4" w:rsidRPr="00915DC4" w:rsidRDefault="00915DC4" w:rsidP="00915DC4">
      <w:pPr>
        <w:pStyle w:val="SingleTxtG"/>
        <w:rPr>
          <w:i/>
          <w:iCs/>
        </w:rPr>
      </w:pPr>
      <w:r w:rsidRPr="00915DC4">
        <w:rPr>
          <w:i/>
          <w:iCs/>
        </w:rPr>
        <w:t>Table A4/1 of Annex 4,</w:t>
      </w:r>
      <w:r w:rsidR="006C6D02">
        <w:rPr>
          <w:i/>
          <w:iCs/>
        </w:rPr>
        <w:t xml:space="preserve"> table, row</w:t>
      </w:r>
      <w:r w:rsidR="00245B2B">
        <w:rPr>
          <w:i/>
          <w:iCs/>
        </w:rPr>
        <w:t>s</w:t>
      </w:r>
      <w:r w:rsidR="006C6D02">
        <w:rPr>
          <w:i/>
          <w:iCs/>
        </w:rPr>
        <w:t xml:space="preserve"> “System initiated lane change”</w:t>
      </w:r>
      <w:r w:rsidR="00245B2B">
        <w:rPr>
          <w:i/>
          <w:iCs/>
        </w:rPr>
        <w:t xml:space="preserve"> (twice)</w:t>
      </w:r>
      <w:r w:rsidR="006C6D02">
        <w:rPr>
          <w:i/>
          <w:iCs/>
        </w:rPr>
        <w:t xml:space="preserve">, </w:t>
      </w:r>
      <w:r w:rsidR="006C6D02">
        <w:t>shall be deleted.</w:t>
      </w:r>
    </w:p>
    <w:p w14:paraId="595320EE" w14:textId="5DFF212B" w:rsidR="002447C4" w:rsidRDefault="002447C4" w:rsidP="00282EF7">
      <w:pPr>
        <w:pStyle w:val="SingleTxtG"/>
        <w:keepNext/>
      </w:pPr>
      <w:r w:rsidRPr="002447C4">
        <w:rPr>
          <w:i/>
          <w:iCs/>
        </w:rPr>
        <w:lastRenderedPageBreak/>
        <w:t xml:space="preserve">Paragraph 4.2.5.1.3. </w:t>
      </w:r>
      <w:r>
        <w:rPr>
          <w:i/>
          <w:iCs/>
        </w:rPr>
        <w:t xml:space="preserve">(and subparagraphs) </w:t>
      </w:r>
      <w:r w:rsidRPr="002447C4">
        <w:rPr>
          <w:i/>
          <w:iCs/>
        </w:rPr>
        <w:t xml:space="preserve">of Annex 4, </w:t>
      </w:r>
      <w:r w:rsidRPr="002447C4">
        <w:t>amend to read:</w:t>
      </w:r>
    </w:p>
    <w:p w14:paraId="7E845346" w14:textId="21869D8E" w:rsidR="00282EF7" w:rsidRDefault="00234032" w:rsidP="00282EF7">
      <w:pPr>
        <w:pStyle w:val="HChG"/>
        <w:tabs>
          <w:tab w:val="left" w:pos="708"/>
        </w:tabs>
        <w:spacing w:before="0" w:after="120" w:line="240" w:lineRule="exact"/>
        <w:ind w:left="2268"/>
        <w:jc w:val="both"/>
        <w:rPr>
          <w:b w:val="0"/>
          <w:bCs/>
          <w:sz w:val="20"/>
        </w:rPr>
      </w:pPr>
      <w:r>
        <w:rPr>
          <w:b w:val="0"/>
          <w:bCs/>
          <w:sz w:val="20"/>
        </w:rPr>
        <w:t>"</w:t>
      </w:r>
      <w:r w:rsidR="00282EF7">
        <w:rPr>
          <w:b w:val="0"/>
          <w:bCs/>
          <w:sz w:val="20"/>
        </w:rPr>
        <w:t>4.2.5.1.3.</w:t>
      </w:r>
      <w:r w:rsidR="00282EF7">
        <w:rPr>
          <w:b w:val="0"/>
          <w:bCs/>
          <w:sz w:val="20"/>
        </w:rPr>
        <w:tab/>
      </w:r>
      <w:r w:rsidR="00282EF7" w:rsidRPr="00282EF7">
        <w:rPr>
          <w:b w:val="0"/>
          <w:bCs/>
          <w:sz w:val="20"/>
        </w:rPr>
        <w:t>(Reserved)</w:t>
      </w:r>
      <w:r w:rsidRPr="00234032">
        <w:rPr>
          <w:b w:val="0"/>
          <w:bCs/>
          <w:sz w:val="20"/>
        </w:rPr>
        <w:t xml:space="preserve"> </w:t>
      </w:r>
      <w:r>
        <w:rPr>
          <w:b w:val="0"/>
          <w:bCs/>
          <w:sz w:val="20"/>
        </w:rPr>
        <w:t>"</w:t>
      </w:r>
    </w:p>
    <w:p w14:paraId="2D9E16B5" w14:textId="6D2E79C0" w:rsidR="00234032" w:rsidRDefault="00234032" w:rsidP="00234032">
      <w:pPr>
        <w:spacing w:after="120"/>
        <w:ind w:left="1134" w:right="1133"/>
        <w:jc w:val="both"/>
        <w:rPr>
          <w:rFonts w:eastAsia="SimSun"/>
          <w:lang w:eastAsia="zh-CN"/>
        </w:rPr>
      </w:pPr>
      <w:r>
        <w:rPr>
          <w:rFonts w:eastAsia="SimSun"/>
          <w:i/>
          <w:iCs/>
          <w:lang w:eastAsia="zh-CN"/>
        </w:rPr>
        <w:t xml:space="preserve">Paragraph 4.3.3. of Annex 4, </w:t>
      </w:r>
      <w:r>
        <w:rPr>
          <w:rFonts w:eastAsia="SimSun"/>
          <w:lang w:eastAsia="zh-CN"/>
        </w:rPr>
        <w:t>amend read</w:t>
      </w:r>
      <w:r w:rsidR="00C8558B">
        <w:rPr>
          <w:rFonts w:eastAsia="SimSun"/>
          <w:lang w:eastAsia="zh-CN"/>
        </w:rPr>
        <w:t xml:space="preserve"> (subparagraphs unchanged)</w:t>
      </w:r>
      <w:r>
        <w:rPr>
          <w:rFonts w:eastAsia="SimSun"/>
          <w:lang w:eastAsia="zh-CN"/>
        </w:rPr>
        <w:t>:</w:t>
      </w:r>
    </w:p>
    <w:p w14:paraId="24D9FB1E" w14:textId="782C1696" w:rsidR="00234032" w:rsidRDefault="00234032" w:rsidP="00234032">
      <w:pPr>
        <w:pStyle w:val="HChG"/>
        <w:keepNext w:val="0"/>
        <w:keepLines w:val="0"/>
        <w:tabs>
          <w:tab w:val="left" w:pos="708"/>
        </w:tabs>
        <w:spacing w:before="0" w:after="120" w:line="240" w:lineRule="exact"/>
        <w:ind w:left="2268"/>
        <w:jc w:val="both"/>
        <w:rPr>
          <w:b w:val="0"/>
          <w:bCs/>
          <w:sz w:val="20"/>
        </w:rPr>
      </w:pPr>
      <w:r>
        <w:rPr>
          <w:b w:val="0"/>
          <w:bCs/>
          <w:sz w:val="20"/>
        </w:rPr>
        <w:t>"4.3.3.</w:t>
      </w:r>
      <w:r>
        <w:rPr>
          <w:b w:val="0"/>
          <w:bCs/>
          <w:sz w:val="20"/>
        </w:rPr>
        <w:tab/>
        <w:t xml:space="preserve">Test scenarios to assess the behaviour of the system in other </w:t>
      </w:r>
      <w:r w:rsidRPr="00234032">
        <w:rPr>
          <w:b w:val="0"/>
          <w:bCs/>
          <w:sz w:val="20"/>
        </w:rPr>
        <w:t>driver-</w:t>
      </w:r>
      <w:r>
        <w:rPr>
          <w:b w:val="0"/>
          <w:bCs/>
          <w:sz w:val="20"/>
        </w:rPr>
        <w:t>initiated manoeuvres"</w:t>
      </w:r>
    </w:p>
    <w:p w14:paraId="0AA1047E" w14:textId="454EDCEB" w:rsidR="00825CB7" w:rsidRDefault="00825CB7" w:rsidP="00825CB7">
      <w:pPr>
        <w:pStyle w:val="SingleTxtG"/>
      </w:pPr>
      <w:r>
        <w:rPr>
          <w:i/>
          <w:iCs/>
        </w:rPr>
        <w:t>Paragraph 4.3.3.2., table, row</w:t>
      </w:r>
      <w:r w:rsidR="003B3F21">
        <w:rPr>
          <w:i/>
          <w:iCs/>
        </w:rPr>
        <w:t>s</w:t>
      </w:r>
      <w:r>
        <w:rPr>
          <w:i/>
          <w:iCs/>
        </w:rPr>
        <w:t xml:space="preserve"> </w:t>
      </w:r>
      <w:r w:rsidR="003B3F21">
        <w:rPr>
          <w:i/>
          <w:iCs/>
        </w:rPr>
        <w:t xml:space="preserve">of the category “Other </w:t>
      </w:r>
      <w:r w:rsidR="0070472E">
        <w:rPr>
          <w:i/>
          <w:iCs/>
        </w:rPr>
        <w:t>system-initiated</w:t>
      </w:r>
      <w:r w:rsidR="003B3F21">
        <w:rPr>
          <w:i/>
          <w:iCs/>
        </w:rPr>
        <w:t xml:space="preserve"> </w:t>
      </w:r>
      <w:r w:rsidR="00992759">
        <w:rPr>
          <w:i/>
          <w:iCs/>
        </w:rPr>
        <w:t>manoeuvres”</w:t>
      </w:r>
      <w:r>
        <w:rPr>
          <w:i/>
          <w:iCs/>
        </w:rPr>
        <w:t xml:space="preserve">, </w:t>
      </w:r>
      <w:r>
        <w:t>shall be deleted.</w:t>
      </w:r>
    </w:p>
    <w:p w14:paraId="5915736B" w14:textId="7FDA7AF9" w:rsidR="001B2040" w:rsidRPr="001B2040" w:rsidRDefault="001B2040" w:rsidP="001B2040">
      <w:pPr>
        <w:pStyle w:val="SingleTxtG"/>
        <w:tabs>
          <w:tab w:val="clear" w:pos="1701"/>
          <w:tab w:val="clear" w:pos="2268"/>
        </w:tabs>
        <w:ind w:left="2268" w:hanging="1134"/>
      </w:pPr>
      <w:r w:rsidRPr="001B2040">
        <w:rPr>
          <w:i/>
          <w:iCs/>
        </w:rPr>
        <w:t>Paragraph 7.2.2.2.,</w:t>
      </w:r>
      <w:r w:rsidRPr="001B2040">
        <w:t xml:space="preserve"> amend to read:</w:t>
      </w:r>
    </w:p>
    <w:p w14:paraId="1CF036A4" w14:textId="3D7D48FF" w:rsidR="001B2040" w:rsidRPr="001B2040" w:rsidRDefault="001B2040" w:rsidP="00E21A2E">
      <w:pPr>
        <w:pStyle w:val="SingleTxtG"/>
        <w:tabs>
          <w:tab w:val="clear" w:pos="1701"/>
          <w:tab w:val="clear" w:pos="2268"/>
        </w:tabs>
        <w:ind w:left="2268" w:hanging="1134"/>
      </w:pPr>
      <w:bookmarkStart w:id="0" w:name="_Hlk189216690"/>
      <w:r w:rsidRPr="001B2040">
        <w:t>“7.2.2.2.</w:t>
      </w:r>
      <w:r w:rsidRPr="001B2040">
        <w:tab/>
        <w:t>If remedial action addressing DCAS design is to be taken by the manufacturer, the Type Approval Authority shall upload the information received from the manufacturer in the English language to the secure internet database "DETA"</w:t>
      </w:r>
      <w:r w:rsidRPr="001B2040">
        <w:rPr>
          <w:vertAlign w:val="superscript"/>
          <w:lang w:val="fr-CH"/>
        </w:rPr>
        <w:footnoteReference w:id="3"/>
      </w:r>
      <w:r w:rsidRPr="001B2040">
        <w:t xml:space="preserve">, established by the United Nations Economic Commission for Europe, without undue delay but no later than 14 days after receipt, to communicate this information to all Type Approval Authorities. The information shall be sufficient to understand the incident, the cause of it and the remedial action. </w:t>
      </w:r>
      <w:bookmarkEnd w:id="0"/>
      <w:r w:rsidRPr="001B2040">
        <w:t>Annex 6 contains the guidance for uploading the information to "DETA".”</w:t>
      </w:r>
    </w:p>
    <w:p w14:paraId="466CFFA7" w14:textId="77777777" w:rsidR="001B2040" w:rsidRPr="001B2040" w:rsidRDefault="001B2040" w:rsidP="001B2040">
      <w:pPr>
        <w:pStyle w:val="SingleTxtG"/>
        <w:ind w:left="1701" w:hanging="567"/>
      </w:pPr>
      <w:r w:rsidRPr="001B2040">
        <w:rPr>
          <w:i/>
          <w:iCs/>
        </w:rPr>
        <w:t xml:space="preserve">Insert new Annex 6 </w:t>
      </w:r>
      <w:r w:rsidRPr="001B2040">
        <w:t>to read:</w:t>
      </w:r>
    </w:p>
    <w:p w14:paraId="5E988DD8" w14:textId="6A0C9FE0" w:rsidR="001B2040" w:rsidRPr="001B2040" w:rsidRDefault="001B2040" w:rsidP="00532FF6">
      <w:pPr>
        <w:pStyle w:val="HChG"/>
      </w:pPr>
      <w:r w:rsidRPr="001B2040">
        <w:tab/>
        <w:t>“Annex 6</w:t>
      </w:r>
    </w:p>
    <w:p w14:paraId="1D86920E" w14:textId="77777777" w:rsidR="001B2040" w:rsidRPr="001B2040" w:rsidRDefault="001B2040" w:rsidP="00532FF6">
      <w:pPr>
        <w:pStyle w:val="HChG"/>
      </w:pPr>
      <w:r w:rsidRPr="001B2040">
        <w:tab/>
      </w:r>
      <w:r w:rsidRPr="001B2040">
        <w:tab/>
        <w:t>Guidance for data exchange via DETA in accordance with paragraph 7.2.2.2.</w:t>
      </w:r>
    </w:p>
    <w:p w14:paraId="4E9DDCDB" w14:textId="24D630CE" w:rsidR="001B2040" w:rsidRPr="001B2040" w:rsidRDefault="001B2040" w:rsidP="00532FF6">
      <w:pPr>
        <w:pStyle w:val="H1G"/>
      </w:pPr>
      <w:r w:rsidRPr="001B2040">
        <w:tab/>
        <w:t>I.</w:t>
      </w:r>
      <w:r w:rsidRPr="001B2040">
        <w:tab/>
      </w:r>
      <w:r w:rsidRPr="001B2040">
        <w:tab/>
        <w:t>Introduction</w:t>
      </w:r>
    </w:p>
    <w:p w14:paraId="192E9920" w14:textId="77777777" w:rsidR="001B2040" w:rsidRPr="001B2040" w:rsidRDefault="001B2040" w:rsidP="001B2040">
      <w:pPr>
        <w:pStyle w:val="SingleTxtG"/>
        <w:ind w:left="1701" w:hanging="567"/>
      </w:pPr>
      <w:r w:rsidRPr="001B2040">
        <w:t>1.</w:t>
      </w:r>
      <w:r w:rsidRPr="001B2040">
        <w:tab/>
        <w:t xml:space="preserve">This Annex provides guidance to the approval authorities of Contracting Parties to the 1958 Agreement on the use of the ‘Database for the Exchange of Type Approval documentation established by the United Nations Economic Commission for Europe’ further referred to ‘DETA’ for the implementation of provisions of UN Regulation No. 171, paragraph 7.2.2.2. </w:t>
      </w:r>
    </w:p>
    <w:p w14:paraId="2BB512C1" w14:textId="77777777" w:rsidR="001B2040" w:rsidRPr="001B2040" w:rsidRDefault="001B2040" w:rsidP="001B2040">
      <w:pPr>
        <w:pStyle w:val="SingleTxtG"/>
        <w:ind w:left="1701" w:hanging="567"/>
      </w:pPr>
      <w:r w:rsidRPr="001B2040">
        <w:t>2.</w:t>
      </w:r>
      <w:r w:rsidRPr="001B2040">
        <w:tab/>
        <w:t>This guidance is without prejudice to any guidance, rules and instructions from manuals, user information, instructions on client administration, guidelines or any other DETA documents.</w:t>
      </w:r>
    </w:p>
    <w:p w14:paraId="5C9D3D72" w14:textId="589A7DAC" w:rsidR="001B2040" w:rsidRPr="001B2040" w:rsidRDefault="001B2040" w:rsidP="001B2040">
      <w:pPr>
        <w:pStyle w:val="SingleTxtG"/>
        <w:ind w:left="1701" w:hanging="567"/>
      </w:pPr>
      <w:r w:rsidRPr="001B2040">
        <w:t>3.</w:t>
      </w:r>
      <w:r w:rsidRPr="001B2040">
        <w:tab/>
        <w:t xml:space="preserve">This guidance describes the general use case of DETA where the approval authority that granted a </w:t>
      </w:r>
      <w:proofErr w:type="gramStart"/>
      <w:r w:rsidRPr="001B2040">
        <w:t>type</w:t>
      </w:r>
      <w:proofErr w:type="gramEnd"/>
      <w:r w:rsidRPr="001B2040">
        <w:t xml:space="preserve"> approval for UN Regulation No. 171 (hereafter called "notifying authority")</w:t>
      </w:r>
      <w:r w:rsidRPr="001B2040">
        <w:rPr>
          <w:bCs/>
        </w:rPr>
        <w:t>:</w:t>
      </w:r>
    </w:p>
    <w:p w14:paraId="174B1542" w14:textId="77777777" w:rsidR="001B2040" w:rsidRPr="001B2040" w:rsidRDefault="001B2040" w:rsidP="001B2040">
      <w:pPr>
        <w:pStyle w:val="SingleTxtG"/>
        <w:ind w:left="1701"/>
      </w:pPr>
      <w:r w:rsidRPr="001B2040">
        <w:t>(a)</w:t>
      </w:r>
      <w:r w:rsidRPr="001B2040">
        <w:tab/>
        <w:t>Uploads the required information to DETA, and</w:t>
      </w:r>
    </w:p>
    <w:p w14:paraId="367B4C76" w14:textId="66E30C65" w:rsidR="001B2040" w:rsidRPr="001B2040" w:rsidRDefault="001B2040" w:rsidP="004D1BBC">
      <w:pPr>
        <w:pStyle w:val="SingleTxtG"/>
        <w:ind w:left="2268" w:hanging="567"/>
      </w:pPr>
      <w:r w:rsidRPr="001B2040">
        <w:t>(b)</w:t>
      </w:r>
      <w:r w:rsidRPr="001B2040">
        <w:tab/>
        <w:t xml:space="preserve">Notifies this to the other authorities by adding a notification message </w:t>
      </w:r>
      <w:r w:rsidR="00532FF6">
        <w:br/>
      </w:r>
      <w:r w:rsidRPr="001B2040">
        <w:t>onto DETA.</w:t>
      </w:r>
    </w:p>
    <w:p w14:paraId="33310949" w14:textId="77777777" w:rsidR="001B2040" w:rsidRPr="001B2040" w:rsidRDefault="001B2040" w:rsidP="001B2040">
      <w:pPr>
        <w:pStyle w:val="SingleTxtG"/>
        <w:ind w:left="1701" w:hanging="567"/>
      </w:pPr>
      <w:r w:rsidRPr="001B2040">
        <w:t>4.</w:t>
      </w:r>
      <w:r w:rsidRPr="001B2040">
        <w:tab/>
        <w:t>The information uploaded to DETA is only available to the Contracting Parties applying UN Regulation No. 171. The notification message, in the form of a standardised text (see paragraph 6(c) of this Annex), will be available to all DETA users.</w:t>
      </w:r>
    </w:p>
    <w:p w14:paraId="7B3DF4C1" w14:textId="77777777" w:rsidR="001B2040" w:rsidRPr="001B2040" w:rsidRDefault="001B2040" w:rsidP="001B2040">
      <w:pPr>
        <w:pStyle w:val="SingleTxtG"/>
        <w:ind w:left="1701" w:hanging="567"/>
      </w:pPr>
      <w:r w:rsidRPr="001B2040">
        <w:t>5.</w:t>
      </w:r>
      <w:r w:rsidRPr="001B2040">
        <w:tab/>
        <w:t>Information obtained through DETA for the purpose of the information sharing scheme which is defined in this UN Regulation shall be protected in a secure manner. This information shall not be used for purposes other than preventing negative consequences of DCAS operation.</w:t>
      </w:r>
    </w:p>
    <w:p w14:paraId="12E39C02" w14:textId="015EBBE9" w:rsidR="001B2040" w:rsidRPr="001B2040" w:rsidRDefault="001B2040" w:rsidP="00532FF6">
      <w:pPr>
        <w:pStyle w:val="H1G"/>
      </w:pPr>
      <w:r w:rsidRPr="001B2040">
        <w:lastRenderedPageBreak/>
        <w:tab/>
      </w:r>
      <w:r w:rsidRPr="001B2040">
        <w:tab/>
        <w:t>II.</w:t>
      </w:r>
      <w:r w:rsidRPr="001B2040">
        <w:tab/>
        <w:t>General guidance on the use of DETA</w:t>
      </w:r>
      <w:r w:rsidR="00532FF6">
        <w:t xml:space="preserve"> </w:t>
      </w:r>
      <w:r w:rsidRPr="001B2040">
        <w:t>for exchanging information regarding incidents with DCAS</w:t>
      </w:r>
    </w:p>
    <w:p w14:paraId="40E4B0FF" w14:textId="77777777" w:rsidR="001B2040" w:rsidRPr="001B2040" w:rsidRDefault="001B2040" w:rsidP="001B2040">
      <w:pPr>
        <w:pStyle w:val="SingleTxtG"/>
        <w:ind w:left="1701" w:hanging="567"/>
      </w:pPr>
      <w:r w:rsidRPr="001B2040">
        <w:t>6.</w:t>
      </w:r>
      <w:r w:rsidRPr="001B2040">
        <w:tab/>
        <w:t>The notifying authority shall proceed as follows</w:t>
      </w:r>
      <w:r w:rsidRPr="001B2040">
        <w:rPr>
          <w:bCs/>
        </w:rPr>
        <w:t>:</w:t>
      </w:r>
    </w:p>
    <w:p w14:paraId="2067104A" w14:textId="0E7EB17D" w:rsidR="001B2040" w:rsidRPr="001B2040" w:rsidRDefault="001B2040" w:rsidP="009E07DE">
      <w:pPr>
        <w:pStyle w:val="SingleTxtG"/>
        <w:ind w:left="2268" w:hanging="567"/>
      </w:pPr>
      <w:r w:rsidRPr="001B2040">
        <w:t>(a)</w:t>
      </w:r>
      <w:r w:rsidRPr="001B2040">
        <w:tab/>
        <w:t>To communicate with the manufacturer to understand fully the nature of the incident, the role of DCAS in it, the cause of it, and the remedial actions (to be) taken by the manufacturer.</w:t>
      </w:r>
    </w:p>
    <w:p w14:paraId="2CE89EB5" w14:textId="4E3EDFE1" w:rsidR="001B2040" w:rsidRPr="001B2040" w:rsidRDefault="001B2040" w:rsidP="009562F2">
      <w:pPr>
        <w:pStyle w:val="SingleTxtG"/>
        <w:ind w:left="2268" w:hanging="567"/>
      </w:pPr>
      <w:r w:rsidRPr="001B2040">
        <w:t>(b)</w:t>
      </w:r>
      <w:r w:rsidRPr="001B2040">
        <w:tab/>
        <w:t>All required information referred to in UN Regulation No. 171, paragraph 7.2.2.2. shall be put together as one or more pdf files. These files shall be uploaded to the type</w:t>
      </w:r>
      <w:r w:rsidR="00B151DD">
        <w:t>-</w:t>
      </w:r>
      <w:r w:rsidRPr="001B2040">
        <w:t>approval number</w:t>
      </w:r>
      <w:r w:rsidRPr="001B2040">
        <w:rPr>
          <w:b/>
          <w:bCs/>
        </w:rPr>
        <w:t xml:space="preserve"> </w:t>
      </w:r>
      <w:r w:rsidRPr="001B2040">
        <w:t>concerned as document parts of the type "OTHER".</w:t>
      </w:r>
    </w:p>
    <w:p w14:paraId="731D4597" w14:textId="77777777" w:rsidR="001B2040" w:rsidRPr="001B2040" w:rsidRDefault="001B2040" w:rsidP="009E07DE">
      <w:pPr>
        <w:pStyle w:val="SingleTxtG"/>
        <w:tabs>
          <w:tab w:val="clear" w:pos="1701"/>
        </w:tabs>
        <w:ind w:left="2268" w:hanging="567"/>
      </w:pPr>
      <w:r w:rsidRPr="001B2040">
        <w:t>(c)</w:t>
      </w:r>
      <w:r w:rsidRPr="001B2040">
        <w:tab/>
        <w:t>The notifying authority then enters the actual notification in the tab "News". This notification includes as a minimum the standard text and approval number, to trace the related information in the DETA archive, as follows:</w:t>
      </w:r>
    </w:p>
    <w:p w14:paraId="4503A8C4" w14:textId="1970448E" w:rsidR="001B2040" w:rsidRPr="001B2040" w:rsidRDefault="001B2040" w:rsidP="009E07DE">
      <w:pPr>
        <w:pStyle w:val="SingleTxtG"/>
        <w:tabs>
          <w:tab w:val="clear" w:pos="1701"/>
        </w:tabs>
        <w:ind w:left="2268"/>
      </w:pPr>
      <w:r w:rsidRPr="001B2040">
        <w:t>"</w:t>
      </w:r>
      <w:r w:rsidRPr="001B2040">
        <w:rPr>
          <w:i/>
        </w:rPr>
        <w:t xml:space="preserve">The Approval Authority of [country name] hereby notifies the other Approval Authorities of the Contracting Parties applying UN Regulation No. 171 about the </w:t>
      </w:r>
      <w:r w:rsidRPr="001B2040">
        <w:rPr>
          <w:i/>
          <w:iCs/>
        </w:rPr>
        <w:t>incident related to DCAS operation, the cause of it and the remedial action(s) (being) taken</w:t>
      </w:r>
      <w:r w:rsidRPr="001B2040">
        <w:t xml:space="preserve"> </w:t>
      </w:r>
      <w:r w:rsidRPr="001B2040">
        <w:rPr>
          <w:i/>
        </w:rPr>
        <w:t>in accordance with UN Regulation No. 171 and in particular with paragraphs</w:t>
      </w:r>
      <w:r w:rsidR="00271FBA">
        <w:rPr>
          <w:i/>
        </w:rPr>
        <w:t> </w:t>
      </w:r>
      <w:r w:rsidRPr="001B2040">
        <w:rPr>
          <w:i/>
        </w:rPr>
        <w:t>7.2.2.1. and 7.2.2.2. thereof. Please refer to the type</w:t>
      </w:r>
      <w:r w:rsidR="00B151DD">
        <w:rPr>
          <w:i/>
        </w:rPr>
        <w:t>-</w:t>
      </w:r>
      <w:r w:rsidRPr="001B2040">
        <w:rPr>
          <w:i/>
        </w:rPr>
        <w:t>approval No. […] for the details.</w:t>
      </w:r>
      <w:r w:rsidRPr="001B2040">
        <w:t>".</w:t>
      </w:r>
    </w:p>
    <w:p w14:paraId="386E4B3C" w14:textId="758605E1" w:rsidR="001B2040" w:rsidRPr="001B2040" w:rsidRDefault="001B2040" w:rsidP="00532FF6">
      <w:pPr>
        <w:pStyle w:val="SingleTxtG"/>
        <w:tabs>
          <w:tab w:val="clear" w:pos="1701"/>
        </w:tabs>
        <w:ind w:left="1701"/>
      </w:pPr>
      <w:r w:rsidRPr="001B2040">
        <w:rPr>
          <w:i/>
          <w:iCs/>
        </w:rPr>
        <w:t>Note 1:</w:t>
      </w:r>
      <w:r w:rsidRPr="001B2040">
        <w:t xml:space="preserve"> The notification in “News” has a 2-month expiry date by default.</w:t>
      </w:r>
    </w:p>
    <w:p w14:paraId="7A490314" w14:textId="77777777" w:rsidR="001B2040" w:rsidRPr="001B2040" w:rsidRDefault="001B2040" w:rsidP="00532FF6">
      <w:pPr>
        <w:pStyle w:val="SingleTxtG"/>
        <w:tabs>
          <w:tab w:val="clear" w:pos="1701"/>
        </w:tabs>
        <w:ind w:left="1701"/>
        <w:rPr>
          <w:b/>
          <w:bCs/>
        </w:rPr>
      </w:pPr>
      <w:r w:rsidRPr="001B2040">
        <w:rPr>
          <w:i/>
          <w:iCs/>
        </w:rPr>
        <w:t xml:space="preserve">Note </w:t>
      </w:r>
      <w:r w:rsidRPr="001B2040">
        <w:t xml:space="preserve">2: "News" is not a mailing-system. Other users only see the messages after logging into the system. Therefore, this guidance recommends the approval authorities to check the "News" section of DETA </w:t>
      </w:r>
      <w:proofErr w:type="gramStart"/>
      <w:r w:rsidRPr="001B2040">
        <w:t>on a daily basis</w:t>
      </w:r>
      <w:proofErr w:type="gramEnd"/>
      <w:r w:rsidRPr="001B2040">
        <w:t>.</w:t>
      </w:r>
    </w:p>
    <w:p w14:paraId="5E07FEA4" w14:textId="36CFA598" w:rsidR="001B2040" w:rsidRPr="001B2040" w:rsidRDefault="001B2040" w:rsidP="001B2040">
      <w:pPr>
        <w:pStyle w:val="SingleTxtG"/>
        <w:ind w:left="1701" w:hanging="567"/>
      </w:pPr>
      <w:r w:rsidRPr="001B2040">
        <w:t>7.</w:t>
      </w:r>
      <w:r w:rsidRPr="001B2040">
        <w:tab/>
        <w:t>The notifying authority shall complete the actions of paragraph 6(b) and (c) as soon as possible but at least within 14 days on receiving the information on the remedial action from the manufacturer. These actions do not absolve the notifying authority from the requirement to report non-conformities to other Contracting Parties, as outlined in Article 4 and Schedule 6 of the 1958 Agreement.</w:t>
      </w:r>
    </w:p>
    <w:p w14:paraId="3987AC12" w14:textId="6826CE0F" w:rsidR="0020213A" w:rsidRPr="005C4381" w:rsidRDefault="001B2040" w:rsidP="004E3336">
      <w:pPr>
        <w:pStyle w:val="SingleTxtG"/>
        <w:ind w:left="1701" w:hanging="567"/>
      </w:pPr>
      <w:r w:rsidRPr="005C4381">
        <w:t>8.</w:t>
      </w:r>
      <w:r w:rsidRPr="005C4381">
        <w:tab/>
      </w:r>
      <w:r w:rsidRPr="001B2040">
        <w:t>The other approval authorities of the Contracting Parties applying UN Regulation No.</w:t>
      </w:r>
      <w:r w:rsidR="00B151DD">
        <w:t> </w:t>
      </w:r>
      <w:r w:rsidRPr="001B2040">
        <w:t>171 taking note of the notification message from the notifying authority may submit queries regarding the incident to the notifying authority via e</w:t>
      </w:r>
      <w:r w:rsidR="00B151DD">
        <w:t>-</w:t>
      </w:r>
      <w:r w:rsidRPr="001B2040">
        <w:t>mail.</w:t>
      </w:r>
      <w:r w:rsidR="004131A6" w:rsidRPr="00DE1AFA">
        <w:t>"</w:t>
      </w:r>
    </w:p>
    <w:p w14:paraId="7B364DBC" w14:textId="695FB784"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B8BC" w14:textId="77777777" w:rsidR="007632F8" w:rsidRDefault="007632F8"/>
  </w:endnote>
  <w:endnote w:type="continuationSeparator" w:id="0">
    <w:p w14:paraId="7771EF75" w14:textId="77777777" w:rsidR="007632F8" w:rsidRDefault="007632F8"/>
  </w:endnote>
  <w:endnote w:type="continuationNotice" w:id="1">
    <w:p w14:paraId="325A3778" w14:textId="77777777" w:rsidR="007632F8" w:rsidRDefault="00763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E287" w14:textId="1605C86E" w:rsidR="005C4381" w:rsidRDefault="005C4381" w:rsidP="005C4381">
    <w:pPr>
      <w:pStyle w:val="Footer"/>
    </w:pPr>
    <w:r w:rsidRPr="0027112F">
      <w:rPr>
        <w:noProof/>
        <w:lang w:val="en-US"/>
      </w:rPr>
      <w:drawing>
        <wp:anchor distT="0" distB="0" distL="114300" distR="114300" simplePos="0" relativeHeight="251659264" behindDoc="0" locked="1" layoutInCell="1" allowOverlap="1" wp14:anchorId="76E6D689" wp14:editId="10C136EA">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AC0EE19" w14:textId="441E930C" w:rsidR="005C4381" w:rsidRPr="005C4381" w:rsidRDefault="005C4381" w:rsidP="005C4381">
    <w:pPr>
      <w:pStyle w:val="Footer"/>
      <w:ind w:right="1134"/>
      <w:rPr>
        <w:sz w:val="20"/>
      </w:rPr>
    </w:pPr>
    <w:r>
      <w:rPr>
        <w:sz w:val="20"/>
      </w:rPr>
      <w:t>GE.25-</w:t>
    </w:r>
    <w:proofErr w:type="gramStart"/>
    <w:r>
      <w:rPr>
        <w:sz w:val="20"/>
      </w:rPr>
      <w:t>13739  (</w:t>
    </w:r>
    <w:proofErr w:type="gramEnd"/>
    <w:r>
      <w:rPr>
        <w:sz w:val="20"/>
      </w:rPr>
      <w:t>E)</w:t>
    </w:r>
    <w:r>
      <w:rPr>
        <w:noProof/>
        <w:sz w:val="20"/>
      </w:rPr>
      <w:drawing>
        <wp:anchor distT="0" distB="0" distL="114300" distR="114300" simplePos="0" relativeHeight="251660288" behindDoc="0" locked="0" layoutInCell="1" allowOverlap="1" wp14:anchorId="68A83465" wp14:editId="69C03527">
          <wp:simplePos x="0" y="0"/>
          <wp:positionH relativeFrom="margin">
            <wp:posOffset>5583555</wp:posOffset>
          </wp:positionH>
          <wp:positionV relativeFrom="margin">
            <wp:posOffset>8981440</wp:posOffset>
          </wp:positionV>
          <wp:extent cx="571500" cy="571500"/>
          <wp:effectExtent l="0" t="0" r="0" b="0"/>
          <wp:wrapNone/>
          <wp:docPr id="1965595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01B2" w14:textId="77777777" w:rsidR="007632F8" w:rsidRPr="000B175B" w:rsidRDefault="007632F8" w:rsidP="000B175B">
      <w:pPr>
        <w:tabs>
          <w:tab w:val="right" w:pos="2155"/>
        </w:tabs>
        <w:spacing w:after="80"/>
        <w:ind w:left="680"/>
        <w:rPr>
          <w:u w:val="single"/>
        </w:rPr>
      </w:pPr>
      <w:r>
        <w:rPr>
          <w:u w:val="single"/>
        </w:rPr>
        <w:tab/>
      </w:r>
    </w:p>
  </w:footnote>
  <w:footnote w:type="continuationSeparator" w:id="0">
    <w:p w14:paraId="39CF9C72" w14:textId="77777777" w:rsidR="007632F8" w:rsidRPr="00FC68B7" w:rsidRDefault="007632F8" w:rsidP="00FC68B7">
      <w:pPr>
        <w:tabs>
          <w:tab w:val="left" w:pos="2155"/>
        </w:tabs>
        <w:spacing w:after="80"/>
        <w:ind w:left="680"/>
        <w:rPr>
          <w:u w:val="single"/>
        </w:rPr>
      </w:pPr>
      <w:r>
        <w:rPr>
          <w:u w:val="single"/>
        </w:rPr>
        <w:tab/>
      </w:r>
    </w:p>
  </w:footnote>
  <w:footnote w:type="continuationNotice" w:id="1">
    <w:p w14:paraId="72AC94A8" w14:textId="77777777" w:rsidR="007632F8" w:rsidRDefault="007632F8"/>
  </w:footnote>
  <w:footnote w:id="2">
    <w:p w14:paraId="005F3EA5" w14:textId="77777777" w:rsidR="00DD6CDA" w:rsidRDefault="00DD6CDA" w:rsidP="00DD6CDA">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w:t>
      </w:r>
      <w:r>
        <w:rPr>
          <w:lang w:val="en-US"/>
        </w:rPr>
        <w:t xml:space="preserve">2025 as outlined in proposed </w:t>
      </w:r>
      <w:proofErr w:type="spellStart"/>
      <w:r>
        <w:rPr>
          <w:lang w:val="en-US"/>
        </w:rPr>
        <w:t>programme</w:t>
      </w:r>
      <w:proofErr w:type="spellEnd"/>
      <w:r>
        <w:rPr>
          <w:lang w:val="en-US"/>
        </w:rPr>
        <w:t xml:space="preserve"> budget for </w:t>
      </w:r>
      <w:r>
        <w:rPr>
          <w:szCs w:val="18"/>
          <w:lang w:val="en-US"/>
        </w:rPr>
        <w:t>2025 (</w:t>
      </w:r>
      <w:r w:rsidRPr="008E6CDE">
        <w:rPr>
          <w:szCs w:val="18"/>
          <w:lang w:val="en-US"/>
        </w:rPr>
        <w:t>A/79/6 (Sect. 20), table 20.6</w:t>
      </w:r>
      <w:r>
        <w:rPr>
          <w:szCs w:val="18"/>
          <w:lang w:val="en-US"/>
        </w:rPr>
        <w:t xml:space="preserve">), the World Forum will develop, harmonize and update UN Regulations </w:t>
      </w:r>
      <w:proofErr w:type="gramStart"/>
      <w:r>
        <w:rPr>
          <w:szCs w:val="18"/>
          <w:lang w:val="en-US"/>
        </w:rPr>
        <w:t>in order to</w:t>
      </w:r>
      <w:proofErr w:type="gramEnd"/>
      <w:r>
        <w:rPr>
          <w:szCs w:val="18"/>
          <w:lang w:val="en-US"/>
        </w:rPr>
        <w:t xml:space="preserve"> enhance the performance of vehicles. The present document is submitted in conformity with that mandate.</w:t>
      </w:r>
    </w:p>
    <w:p w14:paraId="60F2F3B7" w14:textId="77777777" w:rsidR="00DD6CDA" w:rsidRDefault="00DD6CDA" w:rsidP="00DD6CDA">
      <w:pPr>
        <w:pStyle w:val="FootnoteText"/>
        <w:jc w:val="both"/>
        <w:rPr>
          <w:lang w:val="en-US"/>
        </w:rPr>
      </w:pPr>
    </w:p>
  </w:footnote>
  <w:footnote w:id="3">
    <w:p w14:paraId="42D81FBC" w14:textId="77777777" w:rsidR="001B2040" w:rsidRPr="005C4381" w:rsidRDefault="001B2040" w:rsidP="001B2040">
      <w:pPr>
        <w:pStyle w:val="FootnoteText"/>
        <w:tabs>
          <w:tab w:val="clear" w:pos="1021"/>
          <w:tab w:val="right" w:pos="2268"/>
        </w:tabs>
        <w:rPr>
          <w:lang w:val="en-US"/>
        </w:rPr>
      </w:pPr>
      <w:r>
        <w:rPr>
          <w:lang w:val="en-US"/>
        </w:rPr>
        <w:tab/>
      </w:r>
      <w:r>
        <w:rPr>
          <w:rStyle w:val="FootnoteReference"/>
        </w:rPr>
        <w:footnoteRef/>
      </w:r>
      <w:r>
        <w:rPr>
          <w:lang w:val="en-US"/>
        </w:rPr>
        <w:t xml:space="preserve">  </w:t>
      </w:r>
      <w:r>
        <w:rPr>
          <w:szCs w:val="18"/>
          <w:lang w:val="en-US"/>
        </w:rPr>
        <w:t xml:space="preserve">https://www.unece.org/trans/main/wp29/datasharing.html </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04D42A51" w:rsidR="009C0BD0" w:rsidRPr="009C0BD0" w:rsidRDefault="00B372CF">
    <w:pPr>
      <w:pStyle w:val="Header"/>
    </w:pPr>
    <w:r>
      <w:t>ECE/TRANS/WP.29/2025/143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7013CD9D" w:rsidR="009C0BD0" w:rsidRPr="009C0BD0" w:rsidRDefault="00B372CF" w:rsidP="009C0BD0">
    <w:pPr>
      <w:pStyle w:val="Header"/>
      <w:jc w:val="right"/>
    </w:pPr>
    <w:r>
      <w:t>ECE/TRANS/WP.29/2025/143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1"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4"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7"/>
  </w:num>
  <w:num w:numId="12" w16cid:durableId="1492715315">
    <w:abstractNumId w:val="15"/>
  </w:num>
  <w:num w:numId="13" w16cid:durableId="1396975989">
    <w:abstractNumId w:val="10"/>
  </w:num>
  <w:num w:numId="14" w16cid:durableId="304507896">
    <w:abstractNumId w:val="13"/>
  </w:num>
  <w:num w:numId="15" w16cid:durableId="327945471">
    <w:abstractNumId w:val="19"/>
  </w:num>
  <w:num w:numId="16" w16cid:durableId="2127002688">
    <w:abstractNumId w:val="14"/>
  </w:num>
  <w:num w:numId="17" w16cid:durableId="237521305">
    <w:abstractNumId w:val="22"/>
  </w:num>
  <w:num w:numId="18" w16cid:durableId="1401321970">
    <w:abstractNumId w:val="26"/>
  </w:num>
  <w:num w:numId="19" w16cid:durableId="1612278803">
    <w:abstractNumId w:val="12"/>
  </w:num>
  <w:num w:numId="20" w16cid:durableId="574047798">
    <w:abstractNumId w:val="25"/>
  </w:num>
  <w:num w:numId="21" w16cid:durableId="1464494582">
    <w:abstractNumId w:val="23"/>
  </w:num>
  <w:num w:numId="22" w16cid:durableId="2059934419">
    <w:abstractNumId w:val="20"/>
  </w:num>
  <w:num w:numId="23" w16cid:durableId="1349022356">
    <w:abstractNumId w:val="21"/>
  </w:num>
  <w:num w:numId="24" w16cid:durableId="1548225525">
    <w:abstractNumId w:val="18"/>
  </w:num>
  <w:num w:numId="25" w16cid:durableId="1091782387">
    <w:abstractNumId w:val="16"/>
  </w:num>
  <w:num w:numId="26" w16cid:durableId="533424898">
    <w:abstractNumId w:val="11"/>
  </w:num>
  <w:num w:numId="27" w16cid:durableId="9828068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7624"/>
    <w:rsid w:val="000279D7"/>
    <w:rsid w:val="00044C09"/>
    <w:rsid w:val="0004578C"/>
    <w:rsid w:val="00050F6B"/>
    <w:rsid w:val="00051960"/>
    <w:rsid w:val="0006705A"/>
    <w:rsid w:val="000678CD"/>
    <w:rsid w:val="00072C8C"/>
    <w:rsid w:val="00072F17"/>
    <w:rsid w:val="0007639E"/>
    <w:rsid w:val="00081CE0"/>
    <w:rsid w:val="00084D30"/>
    <w:rsid w:val="00090320"/>
    <w:rsid w:val="000931C0"/>
    <w:rsid w:val="00095827"/>
    <w:rsid w:val="00097003"/>
    <w:rsid w:val="000A0C97"/>
    <w:rsid w:val="000A29C5"/>
    <w:rsid w:val="000A2E09"/>
    <w:rsid w:val="000B175B"/>
    <w:rsid w:val="000B3A0F"/>
    <w:rsid w:val="000C01AE"/>
    <w:rsid w:val="000C3985"/>
    <w:rsid w:val="000C6A2B"/>
    <w:rsid w:val="000D1A6E"/>
    <w:rsid w:val="000D7DB2"/>
    <w:rsid w:val="000E0415"/>
    <w:rsid w:val="000E2BF3"/>
    <w:rsid w:val="000F7715"/>
    <w:rsid w:val="00103980"/>
    <w:rsid w:val="00105EFD"/>
    <w:rsid w:val="0011352F"/>
    <w:rsid w:val="00113624"/>
    <w:rsid w:val="00114F10"/>
    <w:rsid w:val="0011522A"/>
    <w:rsid w:val="00121BF8"/>
    <w:rsid w:val="00122421"/>
    <w:rsid w:val="00123F96"/>
    <w:rsid w:val="00133005"/>
    <w:rsid w:val="00146536"/>
    <w:rsid w:val="0015386E"/>
    <w:rsid w:val="00156B99"/>
    <w:rsid w:val="00160583"/>
    <w:rsid w:val="001656CA"/>
    <w:rsid w:val="00166124"/>
    <w:rsid w:val="001662D7"/>
    <w:rsid w:val="0018203F"/>
    <w:rsid w:val="00184DDA"/>
    <w:rsid w:val="001900CD"/>
    <w:rsid w:val="001923E0"/>
    <w:rsid w:val="001A0452"/>
    <w:rsid w:val="001A5FBA"/>
    <w:rsid w:val="001A74AA"/>
    <w:rsid w:val="001B0AC9"/>
    <w:rsid w:val="001B2040"/>
    <w:rsid w:val="001B2806"/>
    <w:rsid w:val="001B4B04"/>
    <w:rsid w:val="001B5875"/>
    <w:rsid w:val="001C4B9C"/>
    <w:rsid w:val="001C531B"/>
    <w:rsid w:val="001C6663"/>
    <w:rsid w:val="001C7895"/>
    <w:rsid w:val="001D26DF"/>
    <w:rsid w:val="001E3A94"/>
    <w:rsid w:val="001F1599"/>
    <w:rsid w:val="001F19C1"/>
    <w:rsid w:val="001F19C4"/>
    <w:rsid w:val="0020213A"/>
    <w:rsid w:val="002043F0"/>
    <w:rsid w:val="002044A3"/>
    <w:rsid w:val="002077C7"/>
    <w:rsid w:val="00211CE0"/>
    <w:rsid w:val="00211E0B"/>
    <w:rsid w:val="002165BD"/>
    <w:rsid w:val="002170B9"/>
    <w:rsid w:val="00220A1F"/>
    <w:rsid w:val="002256A9"/>
    <w:rsid w:val="0022621F"/>
    <w:rsid w:val="00232123"/>
    <w:rsid w:val="00232575"/>
    <w:rsid w:val="00232946"/>
    <w:rsid w:val="00234032"/>
    <w:rsid w:val="002447C4"/>
    <w:rsid w:val="00245B2B"/>
    <w:rsid w:val="00247258"/>
    <w:rsid w:val="0024765E"/>
    <w:rsid w:val="00257CAC"/>
    <w:rsid w:val="0026494C"/>
    <w:rsid w:val="0027103F"/>
    <w:rsid w:val="00271FBA"/>
    <w:rsid w:val="0027237A"/>
    <w:rsid w:val="00282EF7"/>
    <w:rsid w:val="002974E9"/>
    <w:rsid w:val="002A306B"/>
    <w:rsid w:val="002A7F94"/>
    <w:rsid w:val="002B109A"/>
    <w:rsid w:val="002C541C"/>
    <w:rsid w:val="002C6D45"/>
    <w:rsid w:val="002D01C5"/>
    <w:rsid w:val="002D3F2F"/>
    <w:rsid w:val="002D5EFB"/>
    <w:rsid w:val="002D657D"/>
    <w:rsid w:val="002D6E53"/>
    <w:rsid w:val="002D7626"/>
    <w:rsid w:val="002D7B8E"/>
    <w:rsid w:val="002E5854"/>
    <w:rsid w:val="002E6EFF"/>
    <w:rsid w:val="002F046D"/>
    <w:rsid w:val="002F3023"/>
    <w:rsid w:val="00300E72"/>
    <w:rsid w:val="00301764"/>
    <w:rsid w:val="00304E54"/>
    <w:rsid w:val="00311B27"/>
    <w:rsid w:val="003229D8"/>
    <w:rsid w:val="003275F4"/>
    <w:rsid w:val="00332CB2"/>
    <w:rsid w:val="00336C97"/>
    <w:rsid w:val="00336D30"/>
    <w:rsid w:val="00337F88"/>
    <w:rsid w:val="00342432"/>
    <w:rsid w:val="00350E4B"/>
    <w:rsid w:val="0035223F"/>
    <w:rsid w:val="003522AC"/>
    <w:rsid w:val="00352D4B"/>
    <w:rsid w:val="0035638C"/>
    <w:rsid w:val="00361EB3"/>
    <w:rsid w:val="00371D9B"/>
    <w:rsid w:val="00377F8D"/>
    <w:rsid w:val="003813F2"/>
    <w:rsid w:val="003A46BB"/>
    <w:rsid w:val="003A4EC7"/>
    <w:rsid w:val="003A548B"/>
    <w:rsid w:val="003A7295"/>
    <w:rsid w:val="003B1F60"/>
    <w:rsid w:val="003B281C"/>
    <w:rsid w:val="003B3F21"/>
    <w:rsid w:val="003C2CC4"/>
    <w:rsid w:val="003C7556"/>
    <w:rsid w:val="003D0765"/>
    <w:rsid w:val="003D3FB9"/>
    <w:rsid w:val="003D4B23"/>
    <w:rsid w:val="003E1106"/>
    <w:rsid w:val="003E1DBB"/>
    <w:rsid w:val="003E278A"/>
    <w:rsid w:val="003E697F"/>
    <w:rsid w:val="003F05B6"/>
    <w:rsid w:val="003F37CD"/>
    <w:rsid w:val="004131A6"/>
    <w:rsid w:val="00413520"/>
    <w:rsid w:val="00416B91"/>
    <w:rsid w:val="00427F25"/>
    <w:rsid w:val="0043227D"/>
    <w:rsid w:val="004325CB"/>
    <w:rsid w:val="00434235"/>
    <w:rsid w:val="00440A07"/>
    <w:rsid w:val="00447819"/>
    <w:rsid w:val="004533F9"/>
    <w:rsid w:val="00462880"/>
    <w:rsid w:val="00474AA4"/>
    <w:rsid w:val="00476F24"/>
    <w:rsid w:val="00480B37"/>
    <w:rsid w:val="00485FA9"/>
    <w:rsid w:val="0048660A"/>
    <w:rsid w:val="0048799D"/>
    <w:rsid w:val="004927BA"/>
    <w:rsid w:val="004A495D"/>
    <w:rsid w:val="004A5D33"/>
    <w:rsid w:val="004B0C29"/>
    <w:rsid w:val="004B5F46"/>
    <w:rsid w:val="004C52C0"/>
    <w:rsid w:val="004C55B0"/>
    <w:rsid w:val="004C7705"/>
    <w:rsid w:val="004D1BBC"/>
    <w:rsid w:val="004D25C0"/>
    <w:rsid w:val="004D6585"/>
    <w:rsid w:val="004E2758"/>
    <w:rsid w:val="004E3336"/>
    <w:rsid w:val="004E461B"/>
    <w:rsid w:val="004E493A"/>
    <w:rsid w:val="004E4D53"/>
    <w:rsid w:val="004E5BDA"/>
    <w:rsid w:val="004F6BA0"/>
    <w:rsid w:val="00501278"/>
    <w:rsid w:val="00501F75"/>
    <w:rsid w:val="00503BEA"/>
    <w:rsid w:val="00524040"/>
    <w:rsid w:val="00532FF6"/>
    <w:rsid w:val="00533616"/>
    <w:rsid w:val="0053465F"/>
    <w:rsid w:val="00535567"/>
    <w:rsid w:val="005355BD"/>
    <w:rsid w:val="00535ABA"/>
    <w:rsid w:val="0053768B"/>
    <w:rsid w:val="005414CF"/>
    <w:rsid w:val="005420F2"/>
    <w:rsid w:val="0054285C"/>
    <w:rsid w:val="005440D1"/>
    <w:rsid w:val="00550446"/>
    <w:rsid w:val="005534C9"/>
    <w:rsid w:val="00557DB6"/>
    <w:rsid w:val="00563114"/>
    <w:rsid w:val="005670E0"/>
    <w:rsid w:val="00572C6C"/>
    <w:rsid w:val="00576765"/>
    <w:rsid w:val="00584173"/>
    <w:rsid w:val="00584319"/>
    <w:rsid w:val="005860B0"/>
    <w:rsid w:val="00586461"/>
    <w:rsid w:val="00595520"/>
    <w:rsid w:val="005A17C5"/>
    <w:rsid w:val="005A44B9"/>
    <w:rsid w:val="005A5201"/>
    <w:rsid w:val="005B1BA0"/>
    <w:rsid w:val="005B3DB3"/>
    <w:rsid w:val="005C0268"/>
    <w:rsid w:val="005C4250"/>
    <w:rsid w:val="005C4381"/>
    <w:rsid w:val="005C5BF2"/>
    <w:rsid w:val="005D15CA"/>
    <w:rsid w:val="005D184A"/>
    <w:rsid w:val="005E421B"/>
    <w:rsid w:val="005F08DF"/>
    <w:rsid w:val="005F2C2E"/>
    <w:rsid w:val="005F3066"/>
    <w:rsid w:val="005F3E61"/>
    <w:rsid w:val="0060353C"/>
    <w:rsid w:val="00604DDD"/>
    <w:rsid w:val="006107D6"/>
    <w:rsid w:val="006115CC"/>
    <w:rsid w:val="00611FC4"/>
    <w:rsid w:val="006155D9"/>
    <w:rsid w:val="006165E3"/>
    <w:rsid w:val="006176FB"/>
    <w:rsid w:val="00621B3A"/>
    <w:rsid w:val="00621E53"/>
    <w:rsid w:val="0063065B"/>
    <w:rsid w:val="00630FCB"/>
    <w:rsid w:val="006374EC"/>
    <w:rsid w:val="00640B26"/>
    <w:rsid w:val="006458BF"/>
    <w:rsid w:val="0065110C"/>
    <w:rsid w:val="0065766B"/>
    <w:rsid w:val="00665192"/>
    <w:rsid w:val="006770B2"/>
    <w:rsid w:val="00686A48"/>
    <w:rsid w:val="0068763C"/>
    <w:rsid w:val="00690F58"/>
    <w:rsid w:val="00693554"/>
    <w:rsid w:val="006940E1"/>
    <w:rsid w:val="00696FE0"/>
    <w:rsid w:val="006A3C72"/>
    <w:rsid w:val="006A7392"/>
    <w:rsid w:val="006B03A1"/>
    <w:rsid w:val="006B1762"/>
    <w:rsid w:val="006B44D4"/>
    <w:rsid w:val="006B553B"/>
    <w:rsid w:val="006B65C4"/>
    <w:rsid w:val="006B67D9"/>
    <w:rsid w:val="006C3F15"/>
    <w:rsid w:val="006C4B95"/>
    <w:rsid w:val="006C5535"/>
    <w:rsid w:val="006C6450"/>
    <w:rsid w:val="006C6D02"/>
    <w:rsid w:val="006D0589"/>
    <w:rsid w:val="006E0929"/>
    <w:rsid w:val="006E21FE"/>
    <w:rsid w:val="006E2998"/>
    <w:rsid w:val="006E3250"/>
    <w:rsid w:val="006E564B"/>
    <w:rsid w:val="006E7154"/>
    <w:rsid w:val="006F160A"/>
    <w:rsid w:val="006F1CC9"/>
    <w:rsid w:val="007003CD"/>
    <w:rsid w:val="0070260E"/>
    <w:rsid w:val="0070472E"/>
    <w:rsid w:val="00705411"/>
    <w:rsid w:val="0070701E"/>
    <w:rsid w:val="0071435B"/>
    <w:rsid w:val="00717ED2"/>
    <w:rsid w:val="0072632A"/>
    <w:rsid w:val="007358E8"/>
    <w:rsid w:val="00736ECE"/>
    <w:rsid w:val="00741B34"/>
    <w:rsid w:val="00742039"/>
    <w:rsid w:val="007445C2"/>
    <w:rsid w:val="0074533B"/>
    <w:rsid w:val="00753472"/>
    <w:rsid w:val="00757926"/>
    <w:rsid w:val="007632F8"/>
    <w:rsid w:val="007643BC"/>
    <w:rsid w:val="00770B00"/>
    <w:rsid w:val="00772770"/>
    <w:rsid w:val="00780C59"/>
    <w:rsid w:val="00780C68"/>
    <w:rsid w:val="0079310D"/>
    <w:rsid w:val="007959FE"/>
    <w:rsid w:val="00796A57"/>
    <w:rsid w:val="007A0CF1"/>
    <w:rsid w:val="007A17BA"/>
    <w:rsid w:val="007A22C4"/>
    <w:rsid w:val="007A746C"/>
    <w:rsid w:val="007B1F93"/>
    <w:rsid w:val="007B27EA"/>
    <w:rsid w:val="007B6BA5"/>
    <w:rsid w:val="007C3390"/>
    <w:rsid w:val="007C42D8"/>
    <w:rsid w:val="007C4F4B"/>
    <w:rsid w:val="007C7933"/>
    <w:rsid w:val="007D2E05"/>
    <w:rsid w:val="007D46A1"/>
    <w:rsid w:val="007D47B0"/>
    <w:rsid w:val="007D6F65"/>
    <w:rsid w:val="007D7362"/>
    <w:rsid w:val="007E2404"/>
    <w:rsid w:val="007E50FF"/>
    <w:rsid w:val="007E54BB"/>
    <w:rsid w:val="007F3FB0"/>
    <w:rsid w:val="007F5CE2"/>
    <w:rsid w:val="007F649C"/>
    <w:rsid w:val="007F6611"/>
    <w:rsid w:val="007F69E4"/>
    <w:rsid w:val="00801765"/>
    <w:rsid w:val="00803A48"/>
    <w:rsid w:val="0080759C"/>
    <w:rsid w:val="00810BAC"/>
    <w:rsid w:val="00814C29"/>
    <w:rsid w:val="008175E9"/>
    <w:rsid w:val="008218DD"/>
    <w:rsid w:val="008239BE"/>
    <w:rsid w:val="008242D7"/>
    <w:rsid w:val="0082577B"/>
    <w:rsid w:val="00825CB5"/>
    <w:rsid w:val="00825CB7"/>
    <w:rsid w:val="0085656C"/>
    <w:rsid w:val="008629BD"/>
    <w:rsid w:val="008631E4"/>
    <w:rsid w:val="00866893"/>
    <w:rsid w:val="00866F02"/>
    <w:rsid w:val="00867D18"/>
    <w:rsid w:val="00871F9A"/>
    <w:rsid w:val="00871FD5"/>
    <w:rsid w:val="008801D9"/>
    <w:rsid w:val="0088172E"/>
    <w:rsid w:val="00881EFA"/>
    <w:rsid w:val="008879CB"/>
    <w:rsid w:val="00895B7E"/>
    <w:rsid w:val="008979B1"/>
    <w:rsid w:val="008A6B25"/>
    <w:rsid w:val="008A6C4F"/>
    <w:rsid w:val="008B1965"/>
    <w:rsid w:val="008B2FE7"/>
    <w:rsid w:val="008B389E"/>
    <w:rsid w:val="008C0DB4"/>
    <w:rsid w:val="008C66E5"/>
    <w:rsid w:val="008D045E"/>
    <w:rsid w:val="008D3F25"/>
    <w:rsid w:val="008D4D82"/>
    <w:rsid w:val="008E04FC"/>
    <w:rsid w:val="008E0E46"/>
    <w:rsid w:val="008E1B6C"/>
    <w:rsid w:val="008E23B8"/>
    <w:rsid w:val="008E66C5"/>
    <w:rsid w:val="008E7116"/>
    <w:rsid w:val="008F143B"/>
    <w:rsid w:val="008F3882"/>
    <w:rsid w:val="008F4B7C"/>
    <w:rsid w:val="008F7582"/>
    <w:rsid w:val="00902684"/>
    <w:rsid w:val="00915DC4"/>
    <w:rsid w:val="00916338"/>
    <w:rsid w:val="0091671C"/>
    <w:rsid w:val="0092556A"/>
    <w:rsid w:val="00926E47"/>
    <w:rsid w:val="00947162"/>
    <w:rsid w:val="0095002B"/>
    <w:rsid w:val="00952DA7"/>
    <w:rsid w:val="009562F2"/>
    <w:rsid w:val="009610D0"/>
    <w:rsid w:val="00961874"/>
    <w:rsid w:val="0096375C"/>
    <w:rsid w:val="009662E6"/>
    <w:rsid w:val="00967647"/>
    <w:rsid w:val="0097095E"/>
    <w:rsid w:val="0098592B"/>
    <w:rsid w:val="00985FC4"/>
    <w:rsid w:val="00990766"/>
    <w:rsid w:val="00991102"/>
    <w:rsid w:val="00991261"/>
    <w:rsid w:val="00992759"/>
    <w:rsid w:val="0099368D"/>
    <w:rsid w:val="009964C4"/>
    <w:rsid w:val="009A0EB4"/>
    <w:rsid w:val="009A7B81"/>
    <w:rsid w:val="009B011B"/>
    <w:rsid w:val="009B7EB7"/>
    <w:rsid w:val="009C0BD0"/>
    <w:rsid w:val="009D01C0"/>
    <w:rsid w:val="009D6A08"/>
    <w:rsid w:val="009E07DE"/>
    <w:rsid w:val="009E0A16"/>
    <w:rsid w:val="009E2DA8"/>
    <w:rsid w:val="009E6CB7"/>
    <w:rsid w:val="009E7970"/>
    <w:rsid w:val="009F2EAC"/>
    <w:rsid w:val="009F57E3"/>
    <w:rsid w:val="00A00A3F"/>
    <w:rsid w:val="00A0126D"/>
    <w:rsid w:val="00A077A2"/>
    <w:rsid w:val="00A10F4F"/>
    <w:rsid w:val="00A11067"/>
    <w:rsid w:val="00A1580C"/>
    <w:rsid w:val="00A1704A"/>
    <w:rsid w:val="00A21409"/>
    <w:rsid w:val="00A27B61"/>
    <w:rsid w:val="00A36AC2"/>
    <w:rsid w:val="00A425EB"/>
    <w:rsid w:val="00A478E9"/>
    <w:rsid w:val="00A5520F"/>
    <w:rsid w:val="00A64898"/>
    <w:rsid w:val="00A72F22"/>
    <w:rsid w:val="00A733BC"/>
    <w:rsid w:val="00A748A6"/>
    <w:rsid w:val="00A7496B"/>
    <w:rsid w:val="00A76A69"/>
    <w:rsid w:val="00A8092D"/>
    <w:rsid w:val="00A879A4"/>
    <w:rsid w:val="00A949C8"/>
    <w:rsid w:val="00AA0FF8"/>
    <w:rsid w:val="00AA23CB"/>
    <w:rsid w:val="00AB47F3"/>
    <w:rsid w:val="00AC0F2C"/>
    <w:rsid w:val="00AC3F0F"/>
    <w:rsid w:val="00AC502A"/>
    <w:rsid w:val="00AE1E26"/>
    <w:rsid w:val="00AE6D41"/>
    <w:rsid w:val="00AE7E29"/>
    <w:rsid w:val="00AF58C1"/>
    <w:rsid w:val="00B04A3F"/>
    <w:rsid w:val="00B06643"/>
    <w:rsid w:val="00B15055"/>
    <w:rsid w:val="00B151DD"/>
    <w:rsid w:val="00B20551"/>
    <w:rsid w:val="00B30179"/>
    <w:rsid w:val="00B310B1"/>
    <w:rsid w:val="00B31E0B"/>
    <w:rsid w:val="00B33FC7"/>
    <w:rsid w:val="00B372CF"/>
    <w:rsid w:val="00B37B15"/>
    <w:rsid w:val="00B4162A"/>
    <w:rsid w:val="00B45371"/>
    <w:rsid w:val="00B45C02"/>
    <w:rsid w:val="00B672B1"/>
    <w:rsid w:val="00B70B63"/>
    <w:rsid w:val="00B72A1E"/>
    <w:rsid w:val="00B81E12"/>
    <w:rsid w:val="00B82F98"/>
    <w:rsid w:val="00B943C9"/>
    <w:rsid w:val="00B95713"/>
    <w:rsid w:val="00BA339B"/>
    <w:rsid w:val="00BB1DEE"/>
    <w:rsid w:val="00BB23CC"/>
    <w:rsid w:val="00BC1E7E"/>
    <w:rsid w:val="00BC2551"/>
    <w:rsid w:val="00BC74E9"/>
    <w:rsid w:val="00BE3084"/>
    <w:rsid w:val="00BE36A9"/>
    <w:rsid w:val="00BE618E"/>
    <w:rsid w:val="00BE7BEC"/>
    <w:rsid w:val="00BF0A5A"/>
    <w:rsid w:val="00BF0E63"/>
    <w:rsid w:val="00BF12A3"/>
    <w:rsid w:val="00BF16D7"/>
    <w:rsid w:val="00BF2373"/>
    <w:rsid w:val="00BF279B"/>
    <w:rsid w:val="00BF7CEF"/>
    <w:rsid w:val="00C039AC"/>
    <w:rsid w:val="00C044E2"/>
    <w:rsid w:val="00C048CB"/>
    <w:rsid w:val="00C066F3"/>
    <w:rsid w:val="00C07DF8"/>
    <w:rsid w:val="00C20689"/>
    <w:rsid w:val="00C22526"/>
    <w:rsid w:val="00C234D3"/>
    <w:rsid w:val="00C27B49"/>
    <w:rsid w:val="00C32117"/>
    <w:rsid w:val="00C327FF"/>
    <w:rsid w:val="00C33702"/>
    <w:rsid w:val="00C426C4"/>
    <w:rsid w:val="00C429A6"/>
    <w:rsid w:val="00C463DD"/>
    <w:rsid w:val="00C5331F"/>
    <w:rsid w:val="00C64A23"/>
    <w:rsid w:val="00C73265"/>
    <w:rsid w:val="00C73CB4"/>
    <w:rsid w:val="00C745C3"/>
    <w:rsid w:val="00C8558B"/>
    <w:rsid w:val="00C927BA"/>
    <w:rsid w:val="00C95A4D"/>
    <w:rsid w:val="00C95F62"/>
    <w:rsid w:val="00C978F5"/>
    <w:rsid w:val="00CA24A4"/>
    <w:rsid w:val="00CA32AA"/>
    <w:rsid w:val="00CB15F8"/>
    <w:rsid w:val="00CB348D"/>
    <w:rsid w:val="00CC08C9"/>
    <w:rsid w:val="00CD46F5"/>
    <w:rsid w:val="00CE1B7D"/>
    <w:rsid w:val="00CE4A8F"/>
    <w:rsid w:val="00CF071D"/>
    <w:rsid w:val="00CF2143"/>
    <w:rsid w:val="00D0123D"/>
    <w:rsid w:val="00D036A5"/>
    <w:rsid w:val="00D04356"/>
    <w:rsid w:val="00D07CEF"/>
    <w:rsid w:val="00D15B04"/>
    <w:rsid w:val="00D2031B"/>
    <w:rsid w:val="00D25FE2"/>
    <w:rsid w:val="00D31A65"/>
    <w:rsid w:val="00D37DA9"/>
    <w:rsid w:val="00D406A7"/>
    <w:rsid w:val="00D41AE9"/>
    <w:rsid w:val="00D43252"/>
    <w:rsid w:val="00D44D86"/>
    <w:rsid w:val="00D46FEC"/>
    <w:rsid w:val="00D50B7D"/>
    <w:rsid w:val="00D52012"/>
    <w:rsid w:val="00D564D1"/>
    <w:rsid w:val="00D57B90"/>
    <w:rsid w:val="00D6608D"/>
    <w:rsid w:val="00D704E5"/>
    <w:rsid w:val="00D72727"/>
    <w:rsid w:val="00D978C6"/>
    <w:rsid w:val="00DA0956"/>
    <w:rsid w:val="00DA357F"/>
    <w:rsid w:val="00DA3E12"/>
    <w:rsid w:val="00DB493F"/>
    <w:rsid w:val="00DC18AD"/>
    <w:rsid w:val="00DD6CDA"/>
    <w:rsid w:val="00DE1AFA"/>
    <w:rsid w:val="00DF414D"/>
    <w:rsid w:val="00DF7CAE"/>
    <w:rsid w:val="00E04B06"/>
    <w:rsid w:val="00E050C2"/>
    <w:rsid w:val="00E07728"/>
    <w:rsid w:val="00E21A2E"/>
    <w:rsid w:val="00E35781"/>
    <w:rsid w:val="00E417C3"/>
    <w:rsid w:val="00E423C0"/>
    <w:rsid w:val="00E51E0D"/>
    <w:rsid w:val="00E52C51"/>
    <w:rsid w:val="00E6414C"/>
    <w:rsid w:val="00E64C9D"/>
    <w:rsid w:val="00E7260F"/>
    <w:rsid w:val="00E72F25"/>
    <w:rsid w:val="00E76E46"/>
    <w:rsid w:val="00E82644"/>
    <w:rsid w:val="00E8702D"/>
    <w:rsid w:val="00E905F4"/>
    <w:rsid w:val="00E916A9"/>
    <w:rsid w:val="00E916DE"/>
    <w:rsid w:val="00E925AD"/>
    <w:rsid w:val="00E96630"/>
    <w:rsid w:val="00EA0F44"/>
    <w:rsid w:val="00EA4314"/>
    <w:rsid w:val="00EA73A2"/>
    <w:rsid w:val="00EB2F70"/>
    <w:rsid w:val="00EB4FA1"/>
    <w:rsid w:val="00EB7E44"/>
    <w:rsid w:val="00ED18DC"/>
    <w:rsid w:val="00ED285B"/>
    <w:rsid w:val="00ED4D0D"/>
    <w:rsid w:val="00ED6201"/>
    <w:rsid w:val="00ED7A2A"/>
    <w:rsid w:val="00EF1D7F"/>
    <w:rsid w:val="00EF7EAB"/>
    <w:rsid w:val="00F00232"/>
    <w:rsid w:val="00F002CD"/>
    <w:rsid w:val="00F0137E"/>
    <w:rsid w:val="00F04E44"/>
    <w:rsid w:val="00F0671D"/>
    <w:rsid w:val="00F110CB"/>
    <w:rsid w:val="00F21786"/>
    <w:rsid w:val="00F23B4D"/>
    <w:rsid w:val="00F25D06"/>
    <w:rsid w:val="00F26CAF"/>
    <w:rsid w:val="00F31CFF"/>
    <w:rsid w:val="00F3742B"/>
    <w:rsid w:val="00F41FDB"/>
    <w:rsid w:val="00F446AF"/>
    <w:rsid w:val="00F464DD"/>
    <w:rsid w:val="00F50597"/>
    <w:rsid w:val="00F5068A"/>
    <w:rsid w:val="00F523FF"/>
    <w:rsid w:val="00F56D63"/>
    <w:rsid w:val="00F609A9"/>
    <w:rsid w:val="00F61604"/>
    <w:rsid w:val="00F6323F"/>
    <w:rsid w:val="00F65143"/>
    <w:rsid w:val="00F73B45"/>
    <w:rsid w:val="00F73CA2"/>
    <w:rsid w:val="00F753AD"/>
    <w:rsid w:val="00F75B00"/>
    <w:rsid w:val="00F80C99"/>
    <w:rsid w:val="00F867EC"/>
    <w:rsid w:val="00F86873"/>
    <w:rsid w:val="00F91B2B"/>
    <w:rsid w:val="00F940A8"/>
    <w:rsid w:val="00F96313"/>
    <w:rsid w:val="00FC03CD"/>
    <w:rsid w:val="00FC0646"/>
    <w:rsid w:val="00FC68B7"/>
    <w:rsid w:val="00FD185F"/>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6D"/>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058">
      <w:bodyDiv w:val="1"/>
      <w:marLeft w:val="0"/>
      <w:marRight w:val="0"/>
      <w:marTop w:val="0"/>
      <w:marBottom w:val="0"/>
      <w:divBdr>
        <w:top w:val="none" w:sz="0" w:space="0" w:color="auto"/>
        <w:left w:val="none" w:sz="0" w:space="0" w:color="auto"/>
        <w:bottom w:val="none" w:sz="0" w:space="0" w:color="auto"/>
        <w:right w:val="none" w:sz="0" w:space="0" w:color="auto"/>
      </w:divBdr>
    </w:div>
    <w:div w:id="39985393">
      <w:bodyDiv w:val="1"/>
      <w:marLeft w:val="0"/>
      <w:marRight w:val="0"/>
      <w:marTop w:val="0"/>
      <w:marBottom w:val="0"/>
      <w:divBdr>
        <w:top w:val="none" w:sz="0" w:space="0" w:color="auto"/>
        <w:left w:val="none" w:sz="0" w:space="0" w:color="auto"/>
        <w:bottom w:val="none" w:sz="0" w:space="0" w:color="auto"/>
        <w:right w:val="none" w:sz="0" w:space="0" w:color="auto"/>
      </w:divBdr>
    </w:div>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38304732">
      <w:bodyDiv w:val="1"/>
      <w:marLeft w:val="0"/>
      <w:marRight w:val="0"/>
      <w:marTop w:val="0"/>
      <w:marBottom w:val="0"/>
      <w:divBdr>
        <w:top w:val="none" w:sz="0" w:space="0" w:color="auto"/>
        <w:left w:val="none" w:sz="0" w:space="0" w:color="auto"/>
        <w:bottom w:val="none" w:sz="0" w:space="0" w:color="auto"/>
        <w:right w:val="none" w:sz="0" w:space="0" w:color="auto"/>
      </w:divBdr>
    </w:div>
    <w:div w:id="166528420">
      <w:bodyDiv w:val="1"/>
      <w:marLeft w:val="0"/>
      <w:marRight w:val="0"/>
      <w:marTop w:val="0"/>
      <w:marBottom w:val="0"/>
      <w:divBdr>
        <w:top w:val="none" w:sz="0" w:space="0" w:color="auto"/>
        <w:left w:val="none" w:sz="0" w:space="0" w:color="auto"/>
        <w:bottom w:val="none" w:sz="0" w:space="0" w:color="auto"/>
        <w:right w:val="none" w:sz="0" w:space="0" w:color="auto"/>
      </w:divBdr>
    </w:div>
    <w:div w:id="167252258">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17014922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17595994">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261423698">
      <w:bodyDiv w:val="1"/>
      <w:marLeft w:val="0"/>
      <w:marRight w:val="0"/>
      <w:marTop w:val="0"/>
      <w:marBottom w:val="0"/>
      <w:divBdr>
        <w:top w:val="none" w:sz="0" w:space="0" w:color="auto"/>
        <w:left w:val="none" w:sz="0" w:space="0" w:color="auto"/>
        <w:bottom w:val="none" w:sz="0" w:space="0" w:color="auto"/>
        <w:right w:val="none" w:sz="0" w:space="0" w:color="auto"/>
      </w:divBdr>
    </w:div>
    <w:div w:id="382993108">
      <w:bodyDiv w:val="1"/>
      <w:marLeft w:val="0"/>
      <w:marRight w:val="0"/>
      <w:marTop w:val="0"/>
      <w:marBottom w:val="0"/>
      <w:divBdr>
        <w:top w:val="none" w:sz="0" w:space="0" w:color="auto"/>
        <w:left w:val="none" w:sz="0" w:space="0" w:color="auto"/>
        <w:bottom w:val="none" w:sz="0" w:space="0" w:color="auto"/>
        <w:right w:val="none" w:sz="0" w:space="0" w:color="auto"/>
      </w:divBdr>
    </w:div>
    <w:div w:id="384180824">
      <w:bodyDiv w:val="1"/>
      <w:marLeft w:val="0"/>
      <w:marRight w:val="0"/>
      <w:marTop w:val="0"/>
      <w:marBottom w:val="0"/>
      <w:divBdr>
        <w:top w:val="none" w:sz="0" w:space="0" w:color="auto"/>
        <w:left w:val="none" w:sz="0" w:space="0" w:color="auto"/>
        <w:bottom w:val="none" w:sz="0" w:space="0" w:color="auto"/>
        <w:right w:val="none" w:sz="0" w:space="0" w:color="auto"/>
      </w:divBdr>
    </w:div>
    <w:div w:id="431439341">
      <w:bodyDiv w:val="1"/>
      <w:marLeft w:val="0"/>
      <w:marRight w:val="0"/>
      <w:marTop w:val="0"/>
      <w:marBottom w:val="0"/>
      <w:divBdr>
        <w:top w:val="none" w:sz="0" w:space="0" w:color="auto"/>
        <w:left w:val="none" w:sz="0" w:space="0" w:color="auto"/>
        <w:bottom w:val="none" w:sz="0" w:space="0" w:color="auto"/>
        <w:right w:val="none" w:sz="0" w:space="0" w:color="auto"/>
      </w:divBdr>
    </w:div>
    <w:div w:id="434640930">
      <w:bodyDiv w:val="1"/>
      <w:marLeft w:val="0"/>
      <w:marRight w:val="0"/>
      <w:marTop w:val="0"/>
      <w:marBottom w:val="0"/>
      <w:divBdr>
        <w:top w:val="none" w:sz="0" w:space="0" w:color="auto"/>
        <w:left w:val="none" w:sz="0" w:space="0" w:color="auto"/>
        <w:bottom w:val="none" w:sz="0" w:space="0" w:color="auto"/>
        <w:right w:val="none" w:sz="0" w:space="0" w:color="auto"/>
      </w:divBdr>
    </w:div>
    <w:div w:id="437220102">
      <w:bodyDiv w:val="1"/>
      <w:marLeft w:val="0"/>
      <w:marRight w:val="0"/>
      <w:marTop w:val="0"/>
      <w:marBottom w:val="0"/>
      <w:divBdr>
        <w:top w:val="none" w:sz="0" w:space="0" w:color="auto"/>
        <w:left w:val="none" w:sz="0" w:space="0" w:color="auto"/>
        <w:bottom w:val="none" w:sz="0" w:space="0" w:color="auto"/>
        <w:right w:val="none" w:sz="0" w:space="0" w:color="auto"/>
      </w:divBdr>
    </w:div>
    <w:div w:id="441925130">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456997226">
      <w:bodyDiv w:val="1"/>
      <w:marLeft w:val="0"/>
      <w:marRight w:val="0"/>
      <w:marTop w:val="0"/>
      <w:marBottom w:val="0"/>
      <w:divBdr>
        <w:top w:val="none" w:sz="0" w:space="0" w:color="auto"/>
        <w:left w:val="none" w:sz="0" w:space="0" w:color="auto"/>
        <w:bottom w:val="none" w:sz="0" w:space="0" w:color="auto"/>
        <w:right w:val="none" w:sz="0" w:space="0" w:color="auto"/>
      </w:divBdr>
    </w:div>
    <w:div w:id="495613425">
      <w:bodyDiv w:val="1"/>
      <w:marLeft w:val="0"/>
      <w:marRight w:val="0"/>
      <w:marTop w:val="0"/>
      <w:marBottom w:val="0"/>
      <w:divBdr>
        <w:top w:val="none" w:sz="0" w:space="0" w:color="auto"/>
        <w:left w:val="none" w:sz="0" w:space="0" w:color="auto"/>
        <w:bottom w:val="none" w:sz="0" w:space="0" w:color="auto"/>
        <w:right w:val="none" w:sz="0" w:space="0" w:color="auto"/>
      </w:divBdr>
    </w:div>
    <w:div w:id="506677406">
      <w:bodyDiv w:val="1"/>
      <w:marLeft w:val="0"/>
      <w:marRight w:val="0"/>
      <w:marTop w:val="0"/>
      <w:marBottom w:val="0"/>
      <w:divBdr>
        <w:top w:val="none" w:sz="0" w:space="0" w:color="auto"/>
        <w:left w:val="none" w:sz="0" w:space="0" w:color="auto"/>
        <w:bottom w:val="none" w:sz="0" w:space="0" w:color="auto"/>
        <w:right w:val="none" w:sz="0" w:space="0" w:color="auto"/>
      </w:divBdr>
    </w:div>
    <w:div w:id="530071058">
      <w:bodyDiv w:val="1"/>
      <w:marLeft w:val="0"/>
      <w:marRight w:val="0"/>
      <w:marTop w:val="0"/>
      <w:marBottom w:val="0"/>
      <w:divBdr>
        <w:top w:val="none" w:sz="0" w:space="0" w:color="auto"/>
        <w:left w:val="none" w:sz="0" w:space="0" w:color="auto"/>
        <w:bottom w:val="none" w:sz="0" w:space="0" w:color="auto"/>
        <w:right w:val="none" w:sz="0" w:space="0" w:color="auto"/>
      </w:divBdr>
    </w:div>
    <w:div w:id="561329521">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592010527">
      <w:bodyDiv w:val="1"/>
      <w:marLeft w:val="0"/>
      <w:marRight w:val="0"/>
      <w:marTop w:val="0"/>
      <w:marBottom w:val="0"/>
      <w:divBdr>
        <w:top w:val="none" w:sz="0" w:space="0" w:color="auto"/>
        <w:left w:val="none" w:sz="0" w:space="0" w:color="auto"/>
        <w:bottom w:val="none" w:sz="0" w:space="0" w:color="auto"/>
        <w:right w:val="none" w:sz="0" w:space="0" w:color="auto"/>
      </w:divBdr>
    </w:div>
    <w:div w:id="609241776">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17492972">
      <w:bodyDiv w:val="1"/>
      <w:marLeft w:val="0"/>
      <w:marRight w:val="0"/>
      <w:marTop w:val="0"/>
      <w:marBottom w:val="0"/>
      <w:divBdr>
        <w:top w:val="none" w:sz="0" w:space="0" w:color="auto"/>
        <w:left w:val="none" w:sz="0" w:space="0" w:color="auto"/>
        <w:bottom w:val="none" w:sz="0" w:space="0" w:color="auto"/>
        <w:right w:val="none" w:sz="0" w:space="0" w:color="auto"/>
      </w:divBdr>
    </w:div>
    <w:div w:id="635336201">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62126761">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73724871">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816653607">
      <w:bodyDiv w:val="1"/>
      <w:marLeft w:val="0"/>
      <w:marRight w:val="0"/>
      <w:marTop w:val="0"/>
      <w:marBottom w:val="0"/>
      <w:divBdr>
        <w:top w:val="none" w:sz="0" w:space="0" w:color="auto"/>
        <w:left w:val="none" w:sz="0" w:space="0" w:color="auto"/>
        <w:bottom w:val="none" w:sz="0" w:space="0" w:color="auto"/>
        <w:right w:val="none" w:sz="0" w:space="0" w:color="auto"/>
      </w:divBdr>
    </w:div>
    <w:div w:id="829826997">
      <w:bodyDiv w:val="1"/>
      <w:marLeft w:val="0"/>
      <w:marRight w:val="0"/>
      <w:marTop w:val="0"/>
      <w:marBottom w:val="0"/>
      <w:divBdr>
        <w:top w:val="none" w:sz="0" w:space="0" w:color="auto"/>
        <w:left w:val="none" w:sz="0" w:space="0" w:color="auto"/>
        <w:bottom w:val="none" w:sz="0" w:space="0" w:color="auto"/>
        <w:right w:val="none" w:sz="0" w:space="0" w:color="auto"/>
      </w:divBdr>
    </w:div>
    <w:div w:id="873077668">
      <w:bodyDiv w:val="1"/>
      <w:marLeft w:val="0"/>
      <w:marRight w:val="0"/>
      <w:marTop w:val="0"/>
      <w:marBottom w:val="0"/>
      <w:divBdr>
        <w:top w:val="none" w:sz="0" w:space="0" w:color="auto"/>
        <w:left w:val="none" w:sz="0" w:space="0" w:color="auto"/>
        <w:bottom w:val="none" w:sz="0" w:space="0" w:color="auto"/>
        <w:right w:val="none" w:sz="0" w:space="0" w:color="auto"/>
      </w:divBdr>
    </w:div>
    <w:div w:id="883294626">
      <w:bodyDiv w:val="1"/>
      <w:marLeft w:val="0"/>
      <w:marRight w:val="0"/>
      <w:marTop w:val="0"/>
      <w:marBottom w:val="0"/>
      <w:divBdr>
        <w:top w:val="none" w:sz="0" w:space="0" w:color="auto"/>
        <w:left w:val="none" w:sz="0" w:space="0" w:color="auto"/>
        <w:bottom w:val="none" w:sz="0" w:space="0" w:color="auto"/>
        <w:right w:val="none" w:sz="0" w:space="0" w:color="auto"/>
      </w:divBdr>
    </w:div>
    <w:div w:id="908419742">
      <w:bodyDiv w:val="1"/>
      <w:marLeft w:val="0"/>
      <w:marRight w:val="0"/>
      <w:marTop w:val="0"/>
      <w:marBottom w:val="0"/>
      <w:divBdr>
        <w:top w:val="none" w:sz="0" w:space="0" w:color="auto"/>
        <w:left w:val="none" w:sz="0" w:space="0" w:color="auto"/>
        <w:bottom w:val="none" w:sz="0" w:space="0" w:color="auto"/>
        <w:right w:val="none" w:sz="0" w:space="0" w:color="auto"/>
      </w:divBdr>
    </w:div>
    <w:div w:id="911087896">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162354020">
      <w:bodyDiv w:val="1"/>
      <w:marLeft w:val="0"/>
      <w:marRight w:val="0"/>
      <w:marTop w:val="0"/>
      <w:marBottom w:val="0"/>
      <w:divBdr>
        <w:top w:val="none" w:sz="0" w:space="0" w:color="auto"/>
        <w:left w:val="none" w:sz="0" w:space="0" w:color="auto"/>
        <w:bottom w:val="none" w:sz="0" w:space="0" w:color="auto"/>
        <w:right w:val="none" w:sz="0" w:space="0" w:color="auto"/>
      </w:divBdr>
    </w:div>
    <w:div w:id="1197424270">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291326736">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496872537">
      <w:bodyDiv w:val="1"/>
      <w:marLeft w:val="0"/>
      <w:marRight w:val="0"/>
      <w:marTop w:val="0"/>
      <w:marBottom w:val="0"/>
      <w:divBdr>
        <w:top w:val="none" w:sz="0" w:space="0" w:color="auto"/>
        <w:left w:val="none" w:sz="0" w:space="0" w:color="auto"/>
        <w:bottom w:val="none" w:sz="0" w:space="0" w:color="auto"/>
        <w:right w:val="none" w:sz="0" w:space="0" w:color="auto"/>
      </w:divBdr>
    </w:div>
    <w:div w:id="1514489586">
      <w:bodyDiv w:val="1"/>
      <w:marLeft w:val="0"/>
      <w:marRight w:val="0"/>
      <w:marTop w:val="0"/>
      <w:marBottom w:val="0"/>
      <w:divBdr>
        <w:top w:val="none" w:sz="0" w:space="0" w:color="auto"/>
        <w:left w:val="none" w:sz="0" w:space="0" w:color="auto"/>
        <w:bottom w:val="none" w:sz="0" w:space="0" w:color="auto"/>
        <w:right w:val="none" w:sz="0" w:space="0" w:color="auto"/>
      </w:divBdr>
    </w:div>
    <w:div w:id="1579560391">
      <w:bodyDiv w:val="1"/>
      <w:marLeft w:val="0"/>
      <w:marRight w:val="0"/>
      <w:marTop w:val="0"/>
      <w:marBottom w:val="0"/>
      <w:divBdr>
        <w:top w:val="none" w:sz="0" w:space="0" w:color="auto"/>
        <w:left w:val="none" w:sz="0" w:space="0" w:color="auto"/>
        <w:bottom w:val="none" w:sz="0" w:space="0" w:color="auto"/>
        <w:right w:val="none" w:sz="0" w:space="0" w:color="auto"/>
      </w:divBdr>
    </w:div>
    <w:div w:id="1663925723">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699426309">
      <w:bodyDiv w:val="1"/>
      <w:marLeft w:val="0"/>
      <w:marRight w:val="0"/>
      <w:marTop w:val="0"/>
      <w:marBottom w:val="0"/>
      <w:divBdr>
        <w:top w:val="none" w:sz="0" w:space="0" w:color="auto"/>
        <w:left w:val="none" w:sz="0" w:space="0" w:color="auto"/>
        <w:bottom w:val="none" w:sz="0" w:space="0" w:color="auto"/>
        <w:right w:val="none" w:sz="0" w:space="0" w:color="auto"/>
      </w:divBdr>
    </w:div>
    <w:div w:id="1704672995">
      <w:bodyDiv w:val="1"/>
      <w:marLeft w:val="0"/>
      <w:marRight w:val="0"/>
      <w:marTop w:val="0"/>
      <w:marBottom w:val="0"/>
      <w:divBdr>
        <w:top w:val="none" w:sz="0" w:space="0" w:color="auto"/>
        <w:left w:val="none" w:sz="0" w:space="0" w:color="auto"/>
        <w:bottom w:val="none" w:sz="0" w:space="0" w:color="auto"/>
        <w:right w:val="none" w:sz="0" w:space="0" w:color="auto"/>
      </w:divBdr>
    </w:div>
    <w:div w:id="173299989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53744879">
      <w:bodyDiv w:val="1"/>
      <w:marLeft w:val="0"/>
      <w:marRight w:val="0"/>
      <w:marTop w:val="0"/>
      <w:marBottom w:val="0"/>
      <w:divBdr>
        <w:top w:val="none" w:sz="0" w:space="0" w:color="auto"/>
        <w:left w:val="none" w:sz="0" w:space="0" w:color="auto"/>
        <w:bottom w:val="none" w:sz="0" w:space="0" w:color="auto"/>
        <w:right w:val="none" w:sz="0" w:space="0" w:color="auto"/>
      </w:divBdr>
    </w:div>
    <w:div w:id="1775595035">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803696424">
      <w:bodyDiv w:val="1"/>
      <w:marLeft w:val="0"/>
      <w:marRight w:val="0"/>
      <w:marTop w:val="0"/>
      <w:marBottom w:val="0"/>
      <w:divBdr>
        <w:top w:val="none" w:sz="0" w:space="0" w:color="auto"/>
        <w:left w:val="none" w:sz="0" w:space="0" w:color="auto"/>
        <w:bottom w:val="none" w:sz="0" w:space="0" w:color="auto"/>
        <w:right w:val="none" w:sz="0" w:space="0" w:color="auto"/>
      </w:divBdr>
    </w:div>
    <w:div w:id="1828664217">
      <w:bodyDiv w:val="1"/>
      <w:marLeft w:val="0"/>
      <w:marRight w:val="0"/>
      <w:marTop w:val="0"/>
      <w:marBottom w:val="0"/>
      <w:divBdr>
        <w:top w:val="none" w:sz="0" w:space="0" w:color="auto"/>
        <w:left w:val="none" w:sz="0" w:space="0" w:color="auto"/>
        <w:bottom w:val="none" w:sz="0" w:space="0" w:color="auto"/>
        <w:right w:val="none" w:sz="0" w:space="0" w:color="auto"/>
      </w:divBdr>
    </w:div>
    <w:div w:id="1908566045">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 w:id="20582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A4371B1D-718B-4725-9B47-6A2AD5A92632}"/>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4</Pages>
  <Words>1283</Words>
  <Characters>7199</Characters>
  <Application>Microsoft Office Word</Application>
  <DocSecurity>0</DocSecurity>
  <Lines>147</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ECE/TRANS/WP.29/2025/143</vt:lpstr>
      <vt:lpstr/>
    </vt:vector>
  </TitlesOfParts>
  <Company>CSD</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ECE/TRANS/WP.29/2025/143</dc:title>
  <dc:subject>2513739</dc:subject>
  <dc:creator>Add.16/Rev.8/Amend.1(2025/46)</dc:creator>
  <cp:keywords/>
  <dc:description/>
  <cp:lastModifiedBy>Pauline Anne Escalante</cp:lastModifiedBy>
  <cp:revision>2</cp:revision>
  <cp:lastPrinted>2025-08-28T09:53:00Z</cp:lastPrinted>
  <dcterms:created xsi:type="dcterms:W3CDTF">2025-08-28T09:54:00Z</dcterms:created>
  <dcterms:modified xsi:type="dcterms:W3CDTF">2025-08-28T09:54:00Z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