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7D86758F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</w:t>
            </w:r>
            <w:r w:rsidR="00C8320E">
              <w:t>GRVA/</w:t>
            </w:r>
            <w:r>
              <w:t>202</w:t>
            </w:r>
            <w:r w:rsidR="00A83E10">
              <w:t>5</w:t>
            </w:r>
            <w:r>
              <w:t>/</w:t>
            </w:r>
            <w:r w:rsidR="00477FED">
              <w:t>4</w:t>
            </w:r>
            <w:r w:rsidR="006A3D28">
              <w:t>8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600064CE" w:rsidR="00DA4201" w:rsidRDefault="00CA6DFB" w:rsidP="00DA4201">
            <w:pPr>
              <w:spacing w:line="240" w:lineRule="exact"/>
            </w:pPr>
            <w:r>
              <w:t>9</w:t>
            </w:r>
            <w:r w:rsidR="00AD68FB">
              <w:t xml:space="preserve"> </w:t>
            </w:r>
            <w:r w:rsidR="00477FED">
              <w:t>July</w:t>
            </w:r>
            <w:r w:rsidR="00827502">
              <w:t xml:space="preserve"> </w:t>
            </w:r>
            <w:r w:rsidR="00DA4201">
              <w:t>202</w:t>
            </w:r>
            <w:r w:rsidR="00F26128">
              <w:t>5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690475D6" w14:textId="77777777" w:rsidR="00C15E44" w:rsidRPr="00137DDD" w:rsidRDefault="00C15E44" w:rsidP="00C15E44">
      <w:pPr>
        <w:spacing w:before="120"/>
        <w:rPr>
          <w:b/>
        </w:rPr>
      </w:pPr>
      <w:bookmarkStart w:id="0" w:name="_Hlk518466992"/>
      <w:r w:rsidRPr="00137DDD">
        <w:rPr>
          <w:b/>
          <w:bCs/>
        </w:rPr>
        <w:t>Working Party on Automated/Autonomous and Connected Vehicl</w:t>
      </w:r>
      <w:bookmarkEnd w:id="0"/>
      <w:r w:rsidRPr="00137DDD">
        <w:rPr>
          <w:b/>
          <w:bCs/>
        </w:rPr>
        <w:t>es</w:t>
      </w:r>
    </w:p>
    <w:p w14:paraId="6B29927E" w14:textId="4A14F961" w:rsidR="00C15E44" w:rsidRPr="00137DDD" w:rsidRDefault="00C15E44" w:rsidP="00C15E44">
      <w:pPr>
        <w:spacing w:before="120"/>
        <w:rPr>
          <w:b/>
        </w:rPr>
      </w:pPr>
      <w:r w:rsidRPr="00137DDD">
        <w:rPr>
          <w:b/>
        </w:rPr>
        <w:t>Twenty-</w:t>
      </w:r>
      <w:r w:rsidR="00F174DF">
        <w:rPr>
          <w:b/>
        </w:rPr>
        <w:t>third</w:t>
      </w:r>
      <w:r w:rsidRPr="00137DDD">
        <w:rPr>
          <w:b/>
        </w:rPr>
        <w:t xml:space="preserve"> session</w:t>
      </w:r>
    </w:p>
    <w:p w14:paraId="77B038CA" w14:textId="041937E7" w:rsidR="005B5427" w:rsidRDefault="005B5427" w:rsidP="005B5427">
      <w:pPr>
        <w:tabs>
          <w:tab w:val="left" w:pos="5560"/>
        </w:tabs>
      </w:pPr>
      <w:r>
        <w:t xml:space="preserve">Geneva, </w:t>
      </w:r>
      <w:r w:rsidR="008546AE">
        <w:t>2</w:t>
      </w:r>
      <w:r w:rsidR="00F174DF">
        <w:t>2</w:t>
      </w:r>
      <w:r w:rsidR="00F174DF" w:rsidRPr="00F174DF">
        <w:t>–25</w:t>
      </w:r>
      <w:r>
        <w:t xml:space="preserve"> </w:t>
      </w:r>
      <w:r w:rsidR="00F174DF">
        <w:t>September</w:t>
      </w:r>
      <w:r w:rsidR="0020574F">
        <w:t xml:space="preserve"> </w:t>
      </w:r>
      <w:r>
        <w:t>202</w:t>
      </w:r>
      <w:r w:rsidR="0020574F">
        <w:t>5</w:t>
      </w:r>
    </w:p>
    <w:p w14:paraId="13CF69B9" w14:textId="3071682B" w:rsidR="00DE039E" w:rsidRPr="00137DDD" w:rsidRDefault="00DE039E" w:rsidP="00DE039E">
      <w:r w:rsidRPr="00137DDD">
        <w:t xml:space="preserve">Item </w:t>
      </w:r>
      <w:r w:rsidR="008761CE">
        <w:t>1</w:t>
      </w:r>
      <w:r w:rsidR="00500DF4">
        <w:t>2</w:t>
      </w:r>
      <w:r w:rsidRPr="00137DDD">
        <w:t xml:space="preserve"> of the provisional agenda</w:t>
      </w:r>
    </w:p>
    <w:p w14:paraId="09978B39" w14:textId="5B45069C" w:rsidR="005B5427" w:rsidRDefault="00500DF4" w:rsidP="00A57655">
      <w:pPr>
        <w:rPr>
          <w:b/>
          <w:bCs/>
        </w:rPr>
      </w:pPr>
      <w:r>
        <w:rPr>
          <w:b/>
          <w:bCs/>
        </w:rPr>
        <w:t>Revision 3 to the 1958 Agreement</w:t>
      </w:r>
    </w:p>
    <w:p w14:paraId="15C4C008" w14:textId="51A4925A" w:rsidR="005B5427" w:rsidRDefault="001A5919" w:rsidP="00AE28BB">
      <w:pPr>
        <w:pStyle w:val="HChG"/>
        <w:ind w:left="1124" w:right="1138" w:firstLine="0"/>
      </w:pPr>
      <w:r>
        <w:rPr>
          <w:lang w:eastAsia="en-GB"/>
        </w:rPr>
        <w:t xml:space="preserve">Proposal for </w:t>
      </w:r>
      <w:r w:rsidR="006A3D28">
        <w:rPr>
          <w:lang w:eastAsia="en-GB"/>
        </w:rPr>
        <w:t xml:space="preserve">supplements to the 03 and 04 series of amendments </w:t>
      </w:r>
      <w:r>
        <w:rPr>
          <w:lang w:eastAsia="en-GB"/>
        </w:rPr>
        <w:t xml:space="preserve">to UN Regulation No. </w:t>
      </w:r>
      <w:r w:rsidR="006A3D28">
        <w:rPr>
          <w:lang w:eastAsia="en-GB"/>
        </w:rPr>
        <w:t>79</w:t>
      </w:r>
      <w:r>
        <w:rPr>
          <w:lang w:eastAsia="en-GB"/>
        </w:rPr>
        <w:t xml:space="preserve"> (</w:t>
      </w:r>
      <w:r w:rsidR="00AE28BB" w:rsidRPr="00AE28BB">
        <w:rPr>
          <w:lang w:eastAsia="en-GB"/>
        </w:rPr>
        <w:t>Braking of passenger cars</w:t>
      </w:r>
      <w:r>
        <w:rPr>
          <w:lang w:eastAsia="en-GB"/>
        </w:rPr>
        <w:t>)</w:t>
      </w:r>
    </w:p>
    <w:p w14:paraId="3807C0D5" w14:textId="7191040B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9B1B92" w:rsidRPr="00507444">
        <w:t xml:space="preserve">Submitted by </w:t>
      </w:r>
      <w:r w:rsidR="00500DF4">
        <w:t xml:space="preserve">experts from </w:t>
      </w:r>
      <w:r w:rsidR="001A5919">
        <w:t>the International Organization of Motor Vehicle Manufacturers</w:t>
      </w:r>
      <w:r>
        <w:footnoteReference w:customMarkFollows="1" w:id="2"/>
        <w:t>*</w:t>
      </w:r>
    </w:p>
    <w:p w14:paraId="2E9405CA" w14:textId="13557478" w:rsidR="00E5181F" w:rsidRPr="00E3546F" w:rsidRDefault="005B5427" w:rsidP="00C33820">
      <w:pPr>
        <w:pStyle w:val="SingleTxtG"/>
      </w:pPr>
      <w:r>
        <w:rPr>
          <w:lang w:val="en-US"/>
        </w:rPr>
        <w:tab/>
      </w:r>
      <w:r w:rsidR="00CF6398" w:rsidRPr="00507444">
        <w:t>The text reproduced below</w:t>
      </w:r>
      <w:r w:rsidR="002131D0">
        <w:t xml:space="preserve"> was prepared by the experts from </w:t>
      </w:r>
      <w:r w:rsidR="001A5919">
        <w:t>the International Organization of Motor Vehicle Manufacturers (OICA)</w:t>
      </w:r>
      <w:r w:rsidR="00B36ED0" w:rsidRPr="00E561D4">
        <w:t>.</w:t>
      </w:r>
      <w:r w:rsidR="00E5181F">
        <w:t xml:space="preserve"> </w:t>
      </w:r>
      <w:r w:rsidR="009C6289">
        <w:t xml:space="preserve">It is aimed </w:t>
      </w:r>
      <w:r w:rsidR="009C6289" w:rsidRPr="001A4FE4">
        <w:t xml:space="preserve">to </w:t>
      </w:r>
      <w:r w:rsidR="00066EC5">
        <w:t>update the transitional provisions</w:t>
      </w:r>
      <w:r w:rsidR="00D54AA3">
        <w:t xml:space="preserve">. </w:t>
      </w:r>
      <w:r w:rsidR="00C33820" w:rsidRPr="00C33820">
        <w:t>The modifications to the existing text of the Regulation are marked in bold for new characters and in bold strikethrough for deleted characters.</w:t>
      </w:r>
    </w:p>
    <w:p w14:paraId="58270941" w14:textId="57FAA36F" w:rsidR="005A0727" w:rsidRDefault="005A0727">
      <w:r>
        <w:br w:type="page"/>
      </w:r>
    </w:p>
    <w:p w14:paraId="41953EBE" w14:textId="199C142B" w:rsidR="007333E0" w:rsidRDefault="007333E0" w:rsidP="007333E0">
      <w:pPr>
        <w:pStyle w:val="HChG"/>
        <w:ind w:right="522"/>
      </w:pPr>
      <w:r>
        <w:lastRenderedPageBreak/>
        <w:tab/>
      </w:r>
      <w:r w:rsidRPr="004E6CD9">
        <w:t>I.</w:t>
      </w:r>
      <w:r w:rsidRPr="004E6CD9">
        <w:tab/>
        <w:t>Proposal</w:t>
      </w:r>
      <w:r w:rsidR="00E678F6">
        <w:t xml:space="preserve"> for amendments to the 03 series of amendments</w:t>
      </w:r>
    </w:p>
    <w:p w14:paraId="00414490" w14:textId="77777777" w:rsidR="00ED72FA" w:rsidRPr="0074026F" w:rsidRDefault="00ED72FA" w:rsidP="00ED72FA">
      <w:pPr>
        <w:pStyle w:val="para0"/>
        <w:rPr>
          <w:lang w:val="en-US"/>
        </w:rPr>
      </w:pPr>
      <w:r w:rsidRPr="0074026F">
        <w:rPr>
          <w:i/>
          <w:iCs/>
          <w:lang w:val="en-US"/>
        </w:rPr>
        <w:t>Insert</w:t>
      </w:r>
      <w:r w:rsidRPr="0074026F">
        <w:rPr>
          <w:rFonts w:hint="eastAsia"/>
          <w:i/>
          <w:iCs/>
          <w:lang w:val="en-US" w:eastAsia="ja-JP"/>
        </w:rPr>
        <w:t xml:space="preserve"> a</w:t>
      </w:r>
      <w:r w:rsidRPr="0074026F">
        <w:rPr>
          <w:i/>
          <w:iCs/>
          <w:lang w:val="en-US"/>
        </w:rPr>
        <w:t xml:space="preserve"> new paragrap</w:t>
      </w:r>
      <w:r w:rsidRPr="0074026F">
        <w:rPr>
          <w:rFonts w:hint="eastAsia"/>
          <w:i/>
          <w:iCs/>
          <w:lang w:val="en-US" w:eastAsia="ja-JP"/>
        </w:rPr>
        <w:t>h</w:t>
      </w:r>
      <w:r w:rsidRPr="0074026F">
        <w:rPr>
          <w:i/>
          <w:iCs/>
          <w:lang w:val="en-US"/>
        </w:rPr>
        <w:t xml:space="preserve"> 1</w:t>
      </w:r>
      <w:r w:rsidRPr="0074026F">
        <w:rPr>
          <w:rFonts w:hint="eastAsia"/>
          <w:i/>
          <w:iCs/>
          <w:lang w:val="en-US" w:eastAsia="ja-JP"/>
        </w:rPr>
        <w:t>2</w:t>
      </w:r>
      <w:r w:rsidRPr="0074026F">
        <w:rPr>
          <w:i/>
          <w:iCs/>
          <w:lang w:val="en-US"/>
        </w:rPr>
        <w:t>.</w:t>
      </w:r>
      <w:r w:rsidRPr="0074026F">
        <w:rPr>
          <w:rFonts w:hint="eastAsia"/>
          <w:i/>
          <w:iCs/>
          <w:lang w:val="en-US" w:eastAsia="ja-JP"/>
        </w:rPr>
        <w:t>2</w:t>
      </w:r>
      <w:r w:rsidRPr="0074026F">
        <w:rPr>
          <w:i/>
          <w:iCs/>
          <w:lang w:val="en-US"/>
        </w:rPr>
        <w:t>.</w:t>
      </w:r>
      <w:r w:rsidRPr="0074026F">
        <w:rPr>
          <w:rFonts w:hint="eastAsia"/>
          <w:i/>
          <w:iCs/>
          <w:lang w:val="en-US" w:eastAsia="ja-JP"/>
        </w:rPr>
        <w:t>6</w:t>
      </w:r>
      <w:r w:rsidRPr="0074026F">
        <w:rPr>
          <w:i/>
          <w:iCs/>
          <w:lang w:val="en-US"/>
        </w:rPr>
        <w:t>.</w:t>
      </w:r>
      <w:r w:rsidRPr="0074026F">
        <w:rPr>
          <w:lang w:val="en-US"/>
        </w:rPr>
        <w:t xml:space="preserve">, to read: </w:t>
      </w:r>
    </w:p>
    <w:p w14:paraId="11713886" w14:textId="7C2AFB62" w:rsidR="00F062D3" w:rsidRPr="00ED72FA" w:rsidRDefault="00ED72FA" w:rsidP="00ED72FA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4026F">
        <w:rPr>
          <w:b/>
          <w:bCs/>
        </w:rPr>
        <w:t>"1</w:t>
      </w:r>
      <w:r w:rsidRPr="0074026F">
        <w:rPr>
          <w:rFonts w:hint="eastAsia"/>
          <w:b/>
          <w:bCs/>
          <w:lang w:eastAsia="ja-JP"/>
        </w:rPr>
        <w:t>2</w:t>
      </w:r>
      <w:r w:rsidRPr="0074026F">
        <w:rPr>
          <w:b/>
          <w:bCs/>
        </w:rPr>
        <w:t>.</w:t>
      </w:r>
      <w:r w:rsidRPr="0074026F">
        <w:rPr>
          <w:rFonts w:hint="eastAsia"/>
          <w:b/>
          <w:bCs/>
          <w:lang w:eastAsia="ja-JP"/>
        </w:rPr>
        <w:t>2</w:t>
      </w:r>
      <w:r w:rsidRPr="0074026F">
        <w:rPr>
          <w:b/>
          <w:bCs/>
        </w:rPr>
        <w:t>.</w:t>
      </w:r>
      <w:r w:rsidRPr="0074026F">
        <w:rPr>
          <w:rFonts w:hint="eastAsia"/>
          <w:b/>
          <w:bCs/>
          <w:lang w:eastAsia="ja-JP"/>
        </w:rPr>
        <w:t>6</w:t>
      </w:r>
      <w:r w:rsidRPr="0074026F">
        <w:rPr>
          <w:b/>
          <w:bCs/>
        </w:rPr>
        <w:t>.</w:t>
      </w:r>
      <w:r w:rsidRPr="0074026F">
        <w:rPr>
          <w:b/>
          <w:bCs/>
        </w:rPr>
        <w:tab/>
      </w:r>
      <w:r w:rsidRPr="0074026F">
        <w:rPr>
          <w:b/>
          <w:bCs/>
          <w:snapToGrid w:val="0"/>
          <w:lang w:eastAsia="ja-JP"/>
        </w:rPr>
        <w:t>Until</w:t>
      </w:r>
      <w:r w:rsidRPr="0074026F">
        <w:rPr>
          <w:rFonts w:hint="eastAsia"/>
          <w:b/>
          <w:bCs/>
          <w:snapToGrid w:val="0"/>
          <w:lang w:eastAsia="ja-JP"/>
        </w:rPr>
        <w:t xml:space="preserve"> 24</w:t>
      </w:r>
      <w:r w:rsidRPr="0074026F">
        <w:rPr>
          <w:b/>
          <w:bCs/>
          <w:snapToGrid w:val="0"/>
          <w:lang w:eastAsia="ja-JP"/>
        </w:rPr>
        <w:t xml:space="preserve"> months after the date of entry into force of the Supplement </w:t>
      </w:r>
      <w:r w:rsidRPr="0074026F">
        <w:rPr>
          <w:rFonts w:hint="eastAsia"/>
          <w:b/>
          <w:bCs/>
          <w:snapToGrid w:val="0"/>
          <w:lang w:eastAsia="ja-JP"/>
        </w:rPr>
        <w:t>13</w:t>
      </w:r>
      <w:r w:rsidRPr="0074026F">
        <w:rPr>
          <w:b/>
          <w:bCs/>
          <w:snapToGrid w:val="0"/>
          <w:lang w:eastAsia="ja-JP"/>
        </w:rPr>
        <w:t xml:space="preserve"> to the </w:t>
      </w:r>
      <w:r w:rsidRPr="0074026F">
        <w:rPr>
          <w:rFonts w:hint="eastAsia"/>
          <w:b/>
          <w:bCs/>
          <w:snapToGrid w:val="0"/>
          <w:lang w:eastAsia="ja-JP"/>
        </w:rPr>
        <w:t>03</w:t>
      </w:r>
      <w:r w:rsidRPr="0074026F">
        <w:rPr>
          <w:b/>
          <w:bCs/>
          <w:snapToGrid w:val="0"/>
          <w:lang w:eastAsia="ja-JP"/>
        </w:rPr>
        <w:t xml:space="preserve"> series of amendments to this Regulation, Contracting Parties applying this Regulation can continue to grant type approvals to the </w:t>
      </w:r>
      <w:r w:rsidRPr="0074026F">
        <w:rPr>
          <w:rFonts w:hint="eastAsia"/>
          <w:b/>
          <w:bCs/>
          <w:snapToGrid w:val="0"/>
          <w:lang w:eastAsia="ja-JP"/>
        </w:rPr>
        <w:t>03</w:t>
      </w:r>
      <w:r w:rsidRPr="0074026F">
        <w:rPr>
          <w:b/>
          <w:bCs/>
          <w:snapToGrid w:val="0"/>
          <w:lang w:eastAsia="ja-JP"/>
        </w:rPr>
        <w:t xml:space="preserve"> series of amendments to this Regulation without taking into account the </w:t>
      </w:r>
      <w:r w:rsidRPr="0074026F">
        <w:rPr>
          <w:rFonts w:hint="eastAsia"/>
          <w:b/>
          <w:bCs/>
          <w:snapToGrid w:val="0"/>
          <w:lang w:eastAsia="ja-JP"/>
        </w:rPr>
        <w:t>amendments of paragraphs 5.3.3.3. and 5.3.3.4.</w:t>
      </w:r>
      <w:r w:rsidRPr="0074026F">
        <w:rPr>
          <w:b/>
          <w:bCs/>
          <w:snapToGrid w:val="0"/>
          <w:lang w:eastAsia="ja-JP"/>
        </w:rPr>
        <w:t xml:space="preserve"> </w:t>
      </w:r>
      <w:r w:rsidRPr="0074026F">
        <w:rPr>
          <w:rFonts w:hint="eastAsia"/>
          <w:b/>
          <w:bCs/>
          <w:snapToGrid w:val="0"/>
          <w:lang w:eastAsia="ja-JP"/>
        </w:rPr>
        <w:t>of the</w:t>
      </w:r>
      <w:r w:rsidRPr="0074026F">
        <w:rPr>
          <w:b/>
          <w:bCs/>
          <w:snapToGrid w:val="0"/>
          <w:lang w:eastAsia="ja-JP"/>
        </w:rPr>
        <w:t xml:space="preserve"> Supplement </w:t>
      </w:r>
      <w:r w:rsidRPr="0074026F">
        <w:rPr>
          <w:rFonts w:hint="eastAsia"/>
          <w:b/>
          <w:bCs/>
          <w:snapToGrid w:val="0"/>
          <w:lang w:eastAsia="ja-JP"/>
        </w:rPr>
        <w:t>13</w:t>
      </w:r>
      <w:r w:rsidRPr="0074026F">
        <w:rPr>
          <w:b/>
          <w:bCs/>
          <w:snapToGrid w:val="0"/>
          <w:lang w:eastAsia="ja-JP"/>
        </w:rPr>
        <w:t>."</w:t>
      </w:r>
    </w:p>
    <w:p w14:paraId="7A7AEFE2" w14:textId="12DD6FAA" w:rsidR="00E678F6" w:rsidRDefault="004F1AE5" w:rsidP="00E678F6">
      <w:pPr>
        <w:pStyle w:val="HChG"/>
        <w:ind w:right="522"/>
      </w:pPr>
      <w:r w:rsidRPr="004F1AE5">
        <w:tab/>
        <w:t>II.</w:t>
      </w:r>
      <w:r w:rsidRPr="004F1AE5">
        <w:tab/>
      </w:r>
      <w:r w:rsidR="00E678F6" w:rsidRPr="004E6CD9">
        <w:t>Proposal</w:t>
      </w:r>
      <w:r w:rsidR="00E678F6">
        <w:t xml:space="preserve"> for amendments to the 04 series of amendments</w:t>
      </w:r>
    </w:p>
    <w:p w14:paraId="6EE4DACC" w14:textId="77777777" w:rsidR="00F062D3" w:rsidRPr="00762320" w:rsidRDefault="00F062D3" w:rsidP="00F062D3">
      <w:pPr>
        <w:pStyle w:val="para0"/>
        <w:rPr>
          <w:lang w:val="en-US"/>
        </w:rPr>
      </w:pPr>
      <w:bookmarkStart w:id="1" w:name="_Hlk534815639"/>
      <w:r w:rsidRPr="00762320">
        <w:rPr>
          <w:i/>
          <w:iCs/>
          <w:lang w:val="en-US"/>
        </w:rPr>
        <w:t>Insert</w:t>
      </w:r>
      <w:r w:rsidRPr="00762320">
        <w:rPr>
          <w:rFonts w:hint="eastAsia"/>
          <w:i/>
          <w:iCs/>
          <w:lang w:val="en-US" w:eastAsia="ja-JP"/>
        </w:rPr>
        <w:t xml:space="preserve"> a</w:t>
      </w:r>
      <w:r w:rsidRPr="00762320">
        <w:rPr>
          <w:i/>
          <w:iCs/>
          <w:lang w:val="en-US"/>
        </w:rPr>
        <w:t xml:space="preserve"> new paragrap</w:t>
      </w:r>
      <w:r w:rsidRPr="00762320">
        <w:rPr>
          <w:rFonts w:hint="eastAsia"/>
          <w:i/>
          <w:iCs/>
          <w:lang w:val="en-US" w:eastAsia="ja-JP"/>
        </w:rPr>
        <w:t>h</w:t>
      </w:r>
      <w:r w:rsidRPr="00762320">
        <w:rPr>
          <w:i/>
          <w:iCs/>
          <w:lang w:val="en-US"/>
        </w:rPr>
        <w:t xml:space="preserve"> 1</w:t>
      </w:r>
      <w:r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6</w:t>
      </w:r>
      <w:r w:rsidRPr="00762320">
        <w:rPr>
          <w:i/>
          <w:iCs/>
          <w:lang w:val="en-US"/>
        </w:rPr>
        <w:t>.</w:t>
      </w:r>
      <w:r w:rsidRPr="00762320">
        <w:rPr>
          <w:lang w:val="en-US"/>
        </w:rPr>
        <w:t xml:space="preserve">, to read: </w:t>
      </w:r>
    </w:p>
    <w:p w14:paraId="1CE6D212" w14:textId="34844947" w:rsidR="00F062D3" w:rsidRPr="00762320" w:rsidRDefault="00F062D3" w:rsidP="00FC5E6B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62320">
        <w:rPr>
          <w:b/>
          <w:bCs/>
        </w:rPr>
        <w:t>"1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</w:t>
      </w:r>
      <w:r w:rsidRPr="00762320">
        <w:rPr>
          <w:rFonts w:hint="eastAsia"/>
          <w:b/>
          <w:bCs/>
          <w:lang w:eastAsia="ja-JP"/>
        </w:rPr>
        <w:t>6</w:t>
      </w:r>
      <w:r w:rsidRPr="00762320">
        <w:rPr>
          <w:b/>
          <w:bCs/>
        </w:rPr>
        <w:t>.</w:t>
      </w:r>
      <w:r w:rsidRPr="00762320">
        <w:rPr>
          <w:b/>
          <w:bCs/>
        </w:rPr>
        <w:tab/>
      </w:r>
      <w:r w:rsidRPr="00762320">
        <w:rPr>
          <w:b/>
          <w:bCs/>
          <w:snapToGrid w:val="0"/>
          <w:lang w:eastAsia="ja-JP"/>
        </w:rPr>
        <w:t>Until</w:t>
      </w:r>
      <w:r w:rsidRPr="00762320">
        <w:rPr>
          <w:rFonts w:hint="eastAsia"/>
          <w:b/>
          <w:bCs/>
          <w:snapToGrid w:val="0"/>
          <w:lang w:eastAsia="ja-JP"/>
        </w:rPr>
        <w:t xml:space="preserve"> 24</w:t>
      </w:r>
      <w:r w:rsidRPr="00762320">
        <w:rPr>
          <w:b/>
          <w:bCs/>
          <w:snapToGrid w:val="0"/>
          <w:lang w:eastAsia="ja-JP"/>
        </w:rPr>
        <w:t xml:space="preserve"> months after the date of entry into force of the Supplement </w:t>
      </w:r>
      <w:r w:rsidRPr="00762320">
        <w:rPr>
          <w:rFonts w:hint="eastAsia"/>
          <w:b/>
          <w:bCs/>
          <w:snapToGrid w:val="0"/>
          <w:lang w:eastAsia="ja-JP"/>
        </w:rPr>
        <w:t>13</w:t>
      </w:r>
      <w:r w:rsidRPr="00762320">
        <w:rPr>
          <w:b/>
          <w:bCs/>
          <w:snapToGrid w:val="0"/>
          <w:lang w:eastAsia="ja-JP"/>
        </w:rPr>
        <w:t xml:space="preserve"> to the </w:t>
      </w:r>
      <w:r w:rsidRPr="00762320">
        <w:rPr>
          <w:rFonts w:hint="eastAsia"/>
          <w:b/>
          <w:bCs/>
          <w:snapToGrid w:val="0"/>
          <w:lang w:eastAsia="ja-JP"/>
        </w:rPr>
        <w:t>03</w:t>
      </w:r>
      <w:r w:rsidRPr="00762320">
        <w:rPr>
          <w:b/>
          <w:bCs/>
          <w:snapToGrid w:val="0"/>
          <w:lang w:eastAsia="ja-JP"/>
        </w:rPr>
        <w:t xml:space="preserve"> series of amendments to this Regulation, Contracting Parties applying this Regulation can continue to grant type approvals to the </w:t>
      </w:r>
      <w:r w:rsidRPr="00762320">
        <w:rPr>
          <w:rFonts w:hint="eastAsia"/>
          <w:b/>
          <w:bCs/>
          <w:snapToGrid w:val="0"/>
          <w:lang w:eastAsia="ja-JP"/>
        </w:rPr>
        <w:t>03</w:t>
      </w:r>
      <w:r w:rsidRPr="00762320">
        <w:rPr>
          <w:b/>
          <w:bCs/>
          <w:snapToGrid w:val="0"/>
          <w:lang w:eastAsia="ja-JP"/>
        </w:rPr>
        <w:t xml:space="preserve"> series of amendments to this Regulation without taking into account the </w:t>
      </w:r>
      <w:r w:rsidRPr="00762320">
        <w:rPr>
          <w:rFonts w:hint="eastAsia"/>
          <w:b/>
          <w:bCs/>
          <w:snapToGrid w:val="0"/>
          <w:lang w:eastAsia="ja-JP"/>
        </w:rPr>
        <w:t>amendments of paragraphs 5.3.3.3. and 5.3.3.4.</w:t>
      </w:r>
      <w:r w:rsidRPr="00762320">
        <w:rPr>
          <w:b/>
          <w:bCs/>
          <w:snapToGrid w:val="0"/>
          <w:lang w:eastAsia="ja-JP"/>
        </w:rPr>
        <w:t xml:space="preserve"> </w:t>
      </w:r>
      <w:r w:rsidRPr="00762320">
        <w:rPr>
          <w:rFonts w:hint="eastAsia"/>
          <w:b/>
          <w:bCs/>
          <w:snapToGrid w:val="0"/>
          <w:lang w:eastAsia="ja-JP"/>
        </w:rPr>
        <w:t>of</w:t>
      </w:r>
      <w:r w:rsidRPr="00762320">
        <w:rPr>
          <w:b/>
          <w:bCs/>
          <w:snapToGrid w:val="0"/>
          <w:lang w:eastAsia="ja-JP"/>
        </w:rPr>
        <w:t xml:space="preserve"> </w:t>
      </w:r>
      <w:r w:rsidRPr="00762320">
        <w:rPr>
          <w:rFonts w:hint="eastAsia"/>
          <w:b/>
          <w:bCs/>
          <w:snapToGrid w:val="0"/>
          <w:lang w:eastAsia="ja-JP"/>
        </w:rPr>
        <w:t xml:space="preserve">the </w:t>
      </w:r>
      <w:r w:rsidRPr="00762320">
        <w:rPr>
          <w:b/>
          <w:bCs/>
          <w:snapToGrid w:val="0"/>
          <w:lang w:eastAsia="ja-JP"/>
        </w:rPr>
        <w:t xml:space="preserve">Supplement </w:t>
      </w:r>
      <w:r w:rsidRPr="00762320">
        <w:rPr>
          <w:rFonts w:hint="eastAsia"/>
          <w:b/>
          <w:bCs/>
          <w:snapToGrid w:val="0"/>
          <w:lang w:eastAsia="ja-JP"/>
        </w:rPr>
        <w:t>13</w:t>
      </w:r>
      <w:r w:rsidRPr="00762320">
        <w:rPr>
          <w:b/>
          <w:bCs/>
          <w:snapToGrid w:val="0"/>
          <w:lang w:eastAsia="ja-JP"/>
        </w:rPr>
        <w:t>."</w:t>
      </w:r>
    </w:p>
    <w:p w14:paraId="5E15D075" w14:textId="77777777" w:rsidR="00F062D3" w:rsidRPr="00762320" w:rsidRDefault="00F062D3" w:rsidP="00F062D3">
      <w:pPr>
        <w:pStyle w:val="para0"/>
        <w:rPr>
          <w:lang w:val="en-US"/>
        </w:rPr>
      </w:pPr>
      <w:r w:rsidRPr="00762320">
        <w:rPr>
          <w:i/>
          <w:iCs/>
          <w:lang w:val="en-US"/>
        </w:rPr>
        <w:t>Insert</w:t>
      </w:r>
      <w:r w:rsidRPr="00762320">
        <w:rPr>
          <w:rFonts w:hint="eastAsia"/>
          <w:i/>
          <w:iCs/>
          <w:lang w:val="en-US" w:eastAsia="ja-JP"/>
        </w:rPr>
        <w:t xml:space="preserve"> a</w:t>
      </w:r>
      <w:r w:rsidRPr="00762320">
        <w:rPr>
          <w:i/>
          <w:iCs/>
          <w:lang w:val="en-US"/>
        </w:rPr>
        <w:t xml:space="preserve"> new paragrap</w:t>
      </w:r>
      <w:r w:rsidRPr="00762320">
        <w:rPr>
          <w:rFonts w:hint="eastAsia"/>
          <w:i/>
          <w:iCs/>
          <w:lang w:val="en-US" w:eastAsia="ja-JP"/>
        </w:rPr>
        <w:t>h</w:t>
      </w:r>
      <w:r w:rsidRPr="00762320">
        <w:rPr>
          <w:i/>
          <w:iCs/>
          <w:lang w:val="en-US"/>
        </w:rPr>
        <w:t xml:space="preserve"> 1</w:t>
      </w:r>
      <w:r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3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6</w:t>
      </w:r>
      <w:r w:rsidRPr="00762320">
        <w:rPr>
          <w:i/>
          <w:iCs/>
          <w:lang w:val="en-US"/>
        </w:rPr>
        <w:t>.</w:t>
      </w:r>
      <w:r w:rsidRPr="00762320">
        <w:rPr>
          <w:lang w:val="en-US"/>
        </w:rPr>
        <w:t xml:space="preserve">, to read: </w:t>
      </w:r>
    </w:p>
    <w:p w14:paraId="1449D108" w14:textId="0790F5D3" w:rsidR="00F062D3" w:rsidRPr="00FC5E6B" w:rsidRDefault="00F062D3" w:rsidP="00FC5E6B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62320">
        <w:rPr>
          <w:b/>
          <w:bCs/>
        </w:rPr>
        <w:t>"1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.3.</w:t>
      </w:r>
      <w:r w:rsidRPr="00762320">
        <w:rPr>
          <w:rFonts w:hint="eastAsia"/>
          <w:b/>
          <w:bCs/>
          <w:lang w:eastAsia="ja-JP"/>
        </w:rPr>
        <w:t>6</w:t>
      </w:r>
      <w:r w:rsidRPr="00762320">
        <w:rPr>
          <w:b/>
          <w:bCs/>
        </w:rPr>
        <w:t>.</w:t>
      </w:r>
      <w:r w:rsidRPr="00762320">
        <w:rPr>
          <w:b/>
          <w:bCs/>
        </w:rPr>
        <w:tab/>
      </w:r>
      <w:r w:rsidRPr="00762320">
        <w:rPr>
          <w:b/>
          <w:bCs/>
          <w:snapToGrid w:val="0"/>
          <w:lang w:eastAsia="ja-JP"/>
        </w:rPr>
        <w:t>Until</w:t>
      </w:r>
      <w:r w:rsidRPr="00762320">
        <w:rPr>
          <w:rFonts w:hint="eastAsia"/>
          <w:b/>
          <w:bCs/>
          <w:snapToGrid w:val="0"/>
          <w:lang w:eastAsia="ja-JP"/>
        </w:rPr>
        <w:t xml:space="preserve"> 24 </w:t>
      </w:r>
      <w:r w:rsidRPr="00762320">
        <w:rPr>
          <w:b/>
          <w:bCs/>
          <w:snapToGrid w:val="0"/>
          <w:lang w:eastAsia="ja-JP"/>
        </w:rPr>
        <w:t xml:space="preserve">months after the date of entry into force of the Supplement </w:t>
      </w:r>
      <w:r w:rsidRPr="00762320">
        <w:rPr>
          <w:rFonts w:hint="eastAsia"/>
          <w:b/>
          <w:bCs/>
          <w:snapToGrid w:val="0"/>
          <w:lang w:eastAsia="ja-JP"/>
        </w:rPr>
        <w:t>8</w:t>
      </w:r>
      <w:r w:rsidRPr="00762320">
        <w:rPr>
          <w:b/>
          <w:bCs/>
          <w:snapToGrid w:val="0"/>
          <w:lang w:eastAsia="ja-JP"/>
        </w:rPr>
        <w:t xml:space="preserve"> to the </w:t>
      </w:r>
      <w:r w:rsidRPr="00762320">
        <w:rPr>
          <w:rFonts w:hint="eastAsia"/>
          <w:b/>
          <w:bCs/>
          <w:snapToGrid w:val="0"/>
          <w:lang w:eastAsia="ja-JP"/>
        </w:rPr>
        <w:t xml:space="preserve">04 </w:t>
      </w:r>
      <w:r w:rsidRPr="00762320">
        <w:rPr>
          <w:b/>
          <w:bCs/>
          <w:snapToGrid w:val="0"/>
          <w:lang w:eastAsia="ja-JP"/>
        </w:rPr>
        <w:t xml:space="preserve">series of amendments to this Regulation, Contracting Parties applying this Regulation can continue to grant type approvals to the </w:t>
      </w:r>
      <w:r w:rsidRPr="00762320">
        <w:rPr>
          <w:rFonts w:hint="eastAsia"/>
          <w:b/>
          <w:bCs/>
          <w:snapToGrid w:val="0"/>
          <w:lang w:eastAsia="ja-JP"/>
        </w:rPr>
        <w:t>04</w:t>
      </w:r>
      <w:r w:rsidRPr="00762320">
        <w:rPr>
          <w:b/>
          <w:bCs/>
          <w:snapToGrid w:val="0"/>
          <w:lang w:eastAsia="ja-JP"/>
        </w:rPr>
        <w:t xml:space="preserve"> series of amendments to this Regulation without taking into account the amendments</w:t>
      </w:r>
      <w:r w:rsidRPr="00762320">
        <w:rPr>
          <w:rFonts w:hint="eastAsia"/>
          <w:b/>
          <w:bCs/>
          <w:snapToGrid w:val="0"/>
          <w:lang w:eastAsia="ja-JP"/>
        </w:rPr>
        <w:t xml:space="preserve"> of paragraphs 5.3.3.3. and 5.3.3.4.</w:t>
      </w:r>
      <w:r w:rsidRPr="00762320">
        <w:rPr>
          <w:b/>
          <w:bCs/>
          <w:snapToGrid w:val="0"/>
          <w:lang w:eastAsia="ja-JP"/>
        </w:rPr>
        <w:t xml:space="preserve"> </w:t>
      </w:r>
      <w:r w:rsidRPr="00762320">
        <w:rPr>
          <w:rFonts w:hint="eastAsia"/>
          <w:b/>
          <w:bCs/>
          <w:snapToGrid w:val="0"/>
          <w:lang w:eastAsia="ja-JP"/>
        </w:rPr>
        <w:t>of the</w:t>
      </w:r>
      <w:r w:rsidRPr="00762320">
        <w:rPr>
          <w:b/>
          <w:bCs/>
          <w:snapToGrid w:val="0"/>
          <w:lang w:eastAsia="ja-JP"/>
        </w:rPr>
        <w:t xml:space="preserve"> Supplement </w:t>
      </w:r>
      <w:r w:rsidRPr="00762320">
        <w:rPr>
          <w:rFonts w:hint="eastAsia"/>
          <w:b/>
          <w:bCs/>
          <w:snapToGrid w:val="0"/>
          <w:lang w:eastAsia="ja-JP"/>
        </w:rPr>
        <w:t>8</w:t>
      </w:r>
      <w:r w:rsidRPr="00762320">
        <w:rPr>
          <w:b/>
          <w:bCs/>
          <w:snapToGrid w:val="0"/>
          <w:lang w:eastAsia="ja-JP"/>
        </w:rPr>
        <w:t>."</w:t>
      </w:r>
      <w:bookmarkEnd w:id="1"/>
    </w:p>
    <w:p w14:paraId="13F86300" w14:textId="6EA43604" w:rsidR="004F1AE5" w:rsidRPr="004F1AE5" w:rsidRDefault="00E678F6" w:rsidP="004F1AE5">
      <w:pPr>
        <w:pStyle w:val="HChG"/>
        <w:ind w:right="522"/>
      </w:pPr>
      <w:r>
        <w:tab/>
        <w:t>III.</w:t>
      </w:r>
      <w:r>
        <w:tab/>
      </w:r>
      <w:r w:rsidR="004F1AE5" w:rsidRPr="004F1AE5">
        <w:t>Justification</w:t>
      </w:r>
    </w:p>
    <w:p w14:paraId="38845B6F" w14:textId="378572FC" w:rsidR="00E97BD1" w:rsidRPr="008D7871" w:rsidRDefault="00DA7889" w:rsidP="00DA7889">
      <w:pPr>
        <w:pStyle w:val="SingleTxtG"/>
        <w:tabs>
          <w:tab w:val="clear" w:pos="1701"/>
          <w:tab w:val="clear" w:pos="2268"/>
          <w:tab w:val="clear" w:pos="2835"/>
        </w:tabs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 w:rsidR="00E97BD1" w:rsidRPr="008D7871">
        <w:rPr>
          <w:lang w:eastAsia="ja-JP"/>
        </w:rPr>
        <w:t xml:space="preserve">This proposal was presented at the twenty-second GRVA session (see informal document GRVA-22-36). GRVA agreed to consider it at its twenty-third session in September 2025 (see </w:t>
      </w:r>
      <w:r w:rsidR="00925D06">
        <w:rPr>
          <w:lang w:eastAsia="ja-JP"/>
        </w:rPr>
        <w:t xml:space="preserve">informal </w:t>
      </w:r>
      <w:r w:rsidR="00E97BD1" w:rsidRPr="008D7871">
        <w:rPr>
          <w:lang w:eastAsia="ja-JP"/>
        </w:rPr>
        <w:t>document GRVA-22-04/Rev.1, list of decisions, item 6(b)). Meanwhile, document</w:t>
      </w:r>
      <w:r w:rsidR="00960D73">
        <w:rPr>
          <w:lang w:eastAsia="ja-JP"/>
        </w:rPr>
        <w:t>s</w:t>
      </w:r>
      <w:r w:rsidR="00E97BD1" w:rsidRPr="008D7871">
        <w:rPr>
          <w:lang w:eastAsia="ja-JP"/>
        </w:rPr>
        <w:t xml:space="preserve"> ECE/TRANS/WP.29/2025/61 </w:t>
      </w:r>
      <w:r w:rsidR="00925D06">
        <w:rPr>
          <w:lang w:eastAsia="ja-JP"/>
        </w:rPr>
        <w:t xml:space="preserve">and </w:t>
      </w:r>
      <w:r w:rsidR="00925D06" w:rsidRPr="008D7871">
        <w:rPr>
          <w:lang w:eastAsia="ja-JP"/>
        </w:rPr>
        <w:t>ECE/TRANS/WP.29/2025/62</w:t>
      </w:r>
      <w:r w:rsidR="00925D06">
        <w:rPr>
          <w:lang w:eastAsia="ja-JP"/>
        </w:rPr>
        <w:t xml:space="preserve"> were</w:t>
      </w:r>
      <w:r w:rsidR="00E97BD1" w:rsidRPr="008D7871">
        <w:rPr>
          <w:lang w:eastAsia="ja-JP"/>
        </w:rPr>
        <w:t xml:space="preserve"> adopted by WP.29 at its 196th session as a supplement to the 03 series.</w:t>
      </w:r>
    </w:p>
    <w:p w14:paraId="48B48EC2" w14:textId="141E2B21" w:rsidR="00E97BD1" w:rsidRPr="008D7871" w:rsidRDefault="00DA7889" w:rsidP="00E97BD1">
      <w:pPr>
        <w:pStyle w:val="SingleTxtG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 w:rsidR="00E97BD1" w:rsidRPr="008D7871">
        <w:rPr>
          <w:lang w:eastAsia="ja-JP"/>
        </w:rPr>
        <w:t>The original intention of ECE/TRANS/WP.29/2025/61 was to clarify the existing provisions for full power steering systems (such as steer-by-wire systems) without changing them, and to add an alternative measure for complying with the requirements in case of an energy source failure.</w:t>
      </w:r>
    </w:p>
    <w:p w14:paraId="51D595B9" w14:textId="7320AC2B" w:rsidR="00E97BD1" w:rsidRPr="008D7871" w:rsidRDefault="00DA7889" w:rsidP="00E97BD1">
      <w:pPr>
        <w:pStyle w:val="SingleTxtG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 w:rsidR="00E97BD1" w:rsidRPr="008D7871">
        <w:rPr>
          <w:lang w:eastAsia="ja-JP"/>
        </w:rPr>
        <w:t>Similarly, the original intention of ECE/TRANS/WP.29/2025/62 was to clarify the existing provisions for full power steering systems (such as steer-by-wire systems) without changing them, and to add an alternative measure for complying with the requirements in case of an energy source failure.</w:t>
      </w:r>
    </w:p>
    <w:p w14:paraId="09DDAD9B" w14:textId="3FFB07D4" w:rsidR="00E97BD1" w:rsidRPr="008D7871" w:rsidRDefault="00DA7889" w:rsidP="00E97BD1">
      <w:pPr>
        <w:pStyle w:val="SingleTxtG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 w:rsidR="00E97BD1" w:rsidRPr="008D7871">
        <w:rPr>
          <w:lang w:eastAsia="ja-JP"/>
        </w:rPr>
        <w:t xml:space="preserve">Therefore, the two proposals were drafted as supplements to the existing series of amendments (03 and 04) to </w:t>
      </w:r>
      <w:r w:rsidR="00B614BD">
        <w:rPr>
          <w:lang w:eastAsia="ja-JP"/>
        </w:rPr>
        <w:t xml:space="preserve">UN </w:t>
      </w:r>
      <w:r w:rsidR="00E97BD1" w:rsidRPr="008D7871">
        <w:rPr>
          <w:lang w:eastAsia="ja-JP"/>
        </w:rPr>
        <w:t>Regulation No. 79.</w:t>
      </w:r>
    </w:p>
    <w:p w14:paraId="1859CD28" w14:textId="77145BF9" w:rsidR="00E97BD1" w:rsidRPr="008D7871" w:rsidRDefault="00DA7889" w:rsidP="00E97BD1">
      <w:pPr>
        <w:pStyle w:val="SingleTxtG"/>
        <w:rPr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ab/>
      </w:r>
      <w:r w:rsidR="00E97BD1" w:rsidRPr="008D7871">
        <w:rPr>
          <w:lang w:eastAsia="ja-JP"/>
        </w:rPr>
        <w:t>However, due to some last-minute updates to the requirements in paragraphs 5.3.3.3. and 5.3.3.4., additional technical requirements were mistakenly introduced, affecting the existing requirements:</w:t>
      </w:r>
    </w:p>
    <w:p w14:paraId="482033B3" w14:textId="75816C83" w:rsidR="00E97BD1" w:rsidRPr="008D7871" w:rsidRDefault="00E97BD1" w:rsidP="00E97BD1">
      <w:pPr>
        <w:pStyle w:val="SingleTxtG"/>
        <w:rPr>
          <w:lang w:eastAsia="ja-JP"/>
        </w:rPr>
      </w:pPr>
      <w:r w:rsidRPr="008D7871">
        <w:rPr>
          <w:lang w:eastAsia="ja-JP"/>
        </w:rPr>
        <w:t>(a)</w:t>
      </w:r>
      <w:r w:rsidR="00DA7889">
        <w:rPr>
          <w:lang w:eastAsia="ja-JP"/>
        </w:rPr>
        <w:tab/>
      </w:r>
      <w:r w:rsidRPr="008D7871">
        <w:rPr>
          <w:lang w:eastAsia="ja-JP"/>
        </w:rPr>
        <w:t xml:space="preserve">In paragraph 5.3.3.3., relevant failures to be considered were extended to include the electrical supply of the control transmission, meaning that failures affecting the driving force were added as a new factor for </w:t>
      </w:r>
      <w:r w:rsidR="00B614BD">
        <w:rPr>
          <w:lang w:eastAsia="ja-JP"/>
        </w:rPr>
        <w:t>Battery Electric Vehicles (</w:t>
      </w:r>
      <w:r w:rsidRPr="008D7871">
        <w:rPr>
          <w:lang w:eastAsia="ja-JP"/>
        </w:rPr>
        <w:t>BEVs</w:t>
      </w:r>
      <w:r w:rsidR="00B614BD">
        <w:rPr>
          <w:lang w:eastAsia="ja-JP"/>
        </w:rPr>
        <w:t>)</w:t>
      </w:r>
      <w:r w:rsidRPr="008D7871">
        <w:rPr>
          <w:lang w:eastAsia="ja-JP"/>
        </w:rPr>
        <w:t xml:space="preserve"> and </w:t>
      </w:r>
      <w:r w:rsidR="003311AC">
        <w:rPr>
          <w:lang w:eastAsia="ja-JP"/>
        </w:rPr>
        <w:t>F</w:t>
      </w:r>
      <w:r w:rsidR="003311AC" w:rsidRPr="003311AC">
        <w:rPr>
          <w:lang w:eastAsia="ja-JP"/>
        </w:rPr>
        <w:t xml:space="preserve">uel </w:t>
      </w:r>
      <w:r w:rsidR="003311AC">
        <w:rPr>
          <w:lang w:eastAsia="ja-JP"/>
        </w:rPr>
        <w:t>C</w:t>
      </w:r>
      <w:r w:rsidR="003311AC" w:rsidRPr="003311AC">
        <w:rPr>
          <w:lang w:eastAsia="ja-JP"/>
        </w:rPr>
        <w:t xml:space="preserve">ell </w:t>
      </w:r>
      <w:r w:rsidR="003311AC">
        <w:rPr>
          <w:lang w:eastAsia="ja-JP"/>
        </w:rPr>
        <w:t>E</w:t>
      </w:r>
      <w:r w:rsidR="003311AC" w:rsidRPr="003311AC">
        <w:rPr>
          <w:lang w:eastAsia="ja-JP"/>
        </w:rPr>
        <w:t xml:space="preserve">lectric </w:t>
      </w:r>
      <w:r w:rsidR="003311AC">
        <w:rPr>
          <w:lang w:eastAsia="ja-JP"/>
        </w:rPr>
        <w:t>V</w:t>
      </w:r>
      <w:r w:rsidR="003311AC" w:rsidRPr="003311AC">
        <w:rPr>
          <w:lang w:eastAsia="ja-JP"/>
        </w:rPr>
        <w:t>ehicle</w:t>
      </w:r>
      <w:r w:rsidR="003311AC">
        <w:rPr>
          <w:lang w:eastAsia="ja-JP"/>
        </w:rPr>
        <w:t xml:space="preserve"> (</w:t>
      </w:r>
      <w:r w:rsidRPr="008D7871">
        <w:rPr>
          <w:lang w:eastAsia="ja-JP"/>
        </w:rPr>
        <w:t>FCEVs</w:t>
      </w:r>
      <w:r w:rsidR="003311AC">
        <w:rPr>
          <w:lang w:eastAsia="ja-JP"/>
        </w:rPr>
        <w:t>)</w:t>
      </w:r>
      <w:r w:rsidRPr="008D7871">
        <w:rPr>
          <w:lang w:eastAsia="ja-JP"/>
        </w:rPr>
        <w:t>.</w:t>
      </w:r>
    </w:p>
    <w:p w14:paraId="166C2E66" w14:textId="434BB43C" w:rsidR="00E97BD1" w:rsidRPr="008D7871" w:rsidRDefault="00E97BD1" w:rsidP="00E97BD1">
      <w:pPr>
        <w:pStyle w:val="SingleTxtG"/>
        <w:rPr>
          <w:lang w:eastAsia="ja-JP"/>
        </w:rPr>
      </w:pPr>
      <w:r w:rsidRPr="008D7871">
        <w:rPr>
          <w:lang w:eastAsia="ja-JP"/>
        </w:rPr>
        <w:t>(b)</w:t>
      </w:r>
      <w:r w:rsidR="00DA7889">
        <w:rPr>
          <w:lang w:eastAsia="ja-JP"/>
        </w:rPr>
        <w:tab/>
      </w:r>
      <w:r w:rsidRPr="008D7871">
        <w:rPr>
          <w:lang w:eastAsia="ja-JP"/>
        </w:rPr>
        <w:t>In paragraph 5.3.3.4., the additional paragraph reproduced below contains specific threshold values adding restrictions on the control strategies: "</w:t>
      </w:r>
      <w:r w:rsidRPr="008D7871">
        <w:rPr>
          <w:i/>
          <w:iCs/>
          <w:lang w:eastAsia="ja-JP"/>
        </w:rPr>
        <w:t xml:space="preserve">Additionally, in case the safety concept also includes automatic braking to actively reduce the vehicle speed, the </w:t>
      </w:r>
      <w:r w:rsidRPr="008D7871">
        <w:rPr>
          <w:i/>
          <w:iCs/>
          <w:lang w:eastAsia="ja-JP"/>
        </w:rPr>
        <w:lastRenderedPageBreak/>
        <w:t>deceleration demand shall not exceed 2 m/s². Any automatic deceleration demand shall start no earlier than 60 seconds after the failure detection.</w:t>
      </w:r>
      <w:r w:rsidRPr="008D7871">
        <w:rPr>
          <w:lang w:eastAsia="ja-JP"/>
        </w:rPr>
        <w:t>"</w:t>
      </w:r>
    </w:p>
    <w:p w14:paraId="4F3CC6C3" w14:textId="48DF2059" w:rsidR="00E97BD1" w:rsidRPr="008D7871" w:rsidRDefault="003C5099" w:rsidP="00E97BD1">
      <w:pPr>
        <w:pStyle w:val="SingleTxtG"/>
        <w:rPr>
          <w:lang w:eastAsia="ja-JP"/>
        </w:rPr>
      </w:pPr>
      <w:r>
        <w:rPr>
          <w:lang w:eastAsia="ja-JP"/>
        </w:rPr>
        <w:t>6.</w:t>
      </w:r>
      <w:r>
        <w:rPr>
          <w:lang w:eastAsia="ja-JP"/>
        </w:rPr>
        <w:tab/>
      </w:r>
      <w:r w:rsidR="00E97BD1" w:rsidRPr="008D7871">
        <w:rPr>
          <w:lang w:eastAsia="ja-JP"/>
        </w:rPr>
        <w:t>In principle, such amendments should have been treated with a new series of amendments rather than with a supplement, as they add new technical requirements that affect the design of existing vehicles (or vehicles whose development is already frozen). Therefore, it seems reasonable to have a transitional provision allowing the approval of systems without considering these paragraphs for a short period of 24 months.</w:t>
      </w:r>
    </w:p>
    <w:p w14:paraId="69A1FA28" w14:textId="1BD3B212" w:rsidR="00E97BD1" w:rsidRDefault="003C5099" w:rsidP="00E97BD1">
      <w:pPr>
        <w:pStyle w:val="SingleTxtG"/>
        <w:rPr>
          <w:lang w:eastAsia="ja-JP"/>
        </w:rPr>
      </w:pPr>
      <w:r>
        <w:rPr>
          <w:lang w:eastAsia="ja-JP"/>
        </w:rPr>
        <w:t>7.</w:t>
      </w:r>
      <w:r>
        <w:rPr>
          <w:lang w:eastAsia="ja-JP"/>
        </w:rPr>
        <w:tab/>
      </w:r>
      <w:r w:rsidR="00E97BD1" w:rsidRPr="008D7871">
        <w:rPr>
          <w:lang w:eastAsia="ja-JP"/>
        </w:rPr>
        <w:t>The proposed text is based on paragraph 44 of the General Guidelines for United Nations regulatory procedures and transitional provisions in UN Regulations (ECE/TRANS/WP29/1044/Rev.3 as amended by ECE/TRANS/WP.29/2024/76).</w:t>
      </w:r>
    </w:p>
    <w:p w14:paraId="7F50F179" w14:textId="5F4C9C80" w:rsidR="00AD5001" w:rsidRPr="00AD5001" w:rsidRDefault="00AD5001" w:rsidP="00AD5001">
      <w:pPr>
        <w:spacing w:before="240"/>
        <w:jc w:val="center"/>
        <w:rPr>
          <w:u w:val="single"/>
          <w:lang w:eastAsia="ja-JP"/>
        </w:rPr>
      </w:pP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</w:p>
    <w:sectPr w:rsidR="00AD5001" w:rsidRPr="00AD5001" w:rsidSect="00DA42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926" w14:textId="77777777" w:rsidR="007C238D" w:rsidRDefault="007C238D"/>
  </w:endnote>
  <w:endnote w:type="continuationSeparator" w:id="0">
    <w:p w14:paraId="3FF63C6D" w14:textId="77777777" w:rsidR="007C238D" w:rsidRDefault="007C238D"/>
  </w:endnote>
  <w:endnote w:type="continuationNotice" w:id="1">
    <w:p w14:paraId="100DCC77" w14:textId="77777777" w:rsidR="007C238D" w:rsidRDefault="007C2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6942A1D2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3C46E4EF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8C69" w14:textId="2892AD6D" w:rsidR="00635763" w:rsidRDefault="00635763" w:rsidP="00635763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E13EF57" wp14:editId="7DD18DA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BF202" w14:textId="319DF684" w:rsidR="00635763" w:rsidRPr="00635763" w:rsidRDefault="00635763" w:rsidP="00635763">
    <w:pPr>
      <w:pStyle w:val="Footer"/>
      <w:ind w:right="1134"/>
      <w:rPr>
        <w:sz w:val="20"/>
      </w:rPr>
    </w:pPr>
    <w:r>
      <w:rPr>
        <w:sz w:val="20"/>
      </w:rPr>
      <w:t>GE.25-11256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C48FAB0" wp14:editId="6ED4E120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4948617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A563" w14:textId="77777777" w:rsidR="007C238D" w:rsidRPr="000B175B" w:rsidRDefault="007C238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9263E3C" w14:textId="77777777" w:rsidR="007C238D" w:rsidRPr="00FC68B7" w:rsidRDefault="007C238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A35E5A3" w14:textId="77777777" w:rsidR="007C238D" w:rsidRDefault="007C238D"/>
  </w:footnote>
  <w:footnote w:id="2">
    <w:p w14:paraId="2F50A318" w14:textId="2729C647" w:rsidR="005B5427" w:rsidRPr="00DF407D" w:rsidRDefault="005B5427" w:rsidP="005B5427">
      <w:pPr>
        <w:pStyle w:val="FootnoteText"/>
        <w:jc w:val="both"/>
      </w:pPr>
      <w:r>
        <w:tab/>
      </w:r>
      <w:r w:rsidRPr="00DF407D">
        <w:rPr>
          <w:rStyle w:val="FootnoteReference"/>
          <w:sz w:val="20"/>
        </w:rPr>
        <w:t>*</w:t>
      </w:r>
      <w:r w:rsidRPr="00DF407D">
        <w:rPr>
          <w:sz w:val="20"/>
        </w:rPr>
        <w:tab/>
      </w:r>
      <w:r w:rsidRPr="00DF407D">
        <w:rPr>
          <w:szCs w:val="18"/>
        </w:rPr>
        <w:t xml:space="preserve">In accordance with the programme of work of the Inland Transport Committee for </w:t>
      </w:r>
      <w:r w:rsidRPr="00DF407D">
        <w:t>202</w:t>
      </w:r>
      <w:r w:rsidR="00190062" w:rsidRPr="00DF407D">
        <w:t>5</w:t>
      </w:r>
      <w:r w:rsidRPr="00DF407D">
        <w:t xml:space="preserve"> as outlined in proposed programme budget for </w:t>
      </w:r>
      <w:r w:rsidRPr="00DF407D">
        <w:rPr>
          <w:szCs w:val="18"/>
        </w:rPr>
        <w:t>202</w:t>
      </w:r>
      <w:r w:rsidR="00190062" w:rsidRPr="00DF407D">
        <w:rPr>
          <w:szCs w:val="18"/>
        </w:rPr>
        <w:t>5</w:t>
      </w:r>
      <w:r w:rsidRPr="00DF407D">
        <w:rPr>
          <w:szCs w:val="18"/>
        </w:rPr>
        <w:t xml:space="preserve"> </w:t>
      </w:r>
      <w:r w:rsidR="00190062" w:rsidRPr="00DF407D">
        <w:rPr>
          <w:szCs w:val="18"/>
        </w:rPr>
        <w:t>(</w:t>
      </w:r>
      <w:r w:rsidR="008E6CDE" w:rsidRPr="00DF407D">
        <w:rPr>
          <w:szCs w:val="18"/>
        </w:rPr>
        <w:t>A/79/6 (Sect. 20), table 20.6</w:t>
      </w:r>
      <w:r w:rsidR="00190062" w:rsidRPr="00DF407D">
        <w:rPr>
          <w:szCs w:val="18"/>
        </w:rPr>
        <w:t>)</w:t>
      </w:r>
      <w:r w:rsidRPr="00DF407D"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595B75AA" w:rsidR="00DA4201" w:rsidRPr="00DA4201" w:rsidRDefault="00DA4201">
    <w:pPr>
      <w:pStyle w:val="Header"/>
    </w:pPr>
    <w:r>
      <w:t>ECE/TRANS/WP.29/</w:t>
    </w:r>
    <w:r w:rsidR="00C60C2F">
      <w:t>GRVA/</w:t>
    </w:r>
    <w:r>
      <w:t>202</w:t>
    </w:r>
    <w:r w:rsidR="007B605E">
      <w:t>5</w:t>
    </w:r>
    <w:r>
      <w:t>/</w:t>
    </w:r>
    <w:r w:rsidR="0054432D">
      <w:t>4</w:t>
    </w:r>
    <w:r w:rsidR="00E678F6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74AF1B73" w:rsidR="00DA4201" w:rsidRPr="00DA4201" w:rsidRDefault="00DA4201" w:rsidP="00DA4201">
    <w:pPr>
      <w:pStyle w:val="Header"/>
      <w:jc w:val="right"/>
    </w:pPr>
    <w:r>
      <w:t>ECE/TRANS/WP.29/</w:t>
    </w:r>
    <w:r w:rsidR="00B050D0">
      <w:t>GRVA/</w:t>
    </w:r>
    <w:r>
      <w:t>202</w:t>
    </w:r>
    <w:r w:rsidR="00FE44BF">
      <w:t>5</w:t>
    </w:r>
    <w:r>
      <w:t>/</w:t>
    </w:r>
    <w:r w:rsidR="00822726">
      <w:t>4</w:t>
    </w:r>
    <w:r w:rsidR="00A0079A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BA4F" w14:textId="77777777" w:rsidR="00E678F6" w:rsidRDefault="00E678F6" w:rsidP="00E678F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1C04D2D"/>
    <w:multiLevelType w:val="hybridMultilevel"/>
    <w:tmpl w:val="E75E8B0E"/>
    <w:lvl w:ilvl="0" w:tplc="CB66ACE4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043F1736"/>
    <w:multiLevelType w:val="hybridMultilevel"/>
    <w:tmpl w:val="21620DDE"/>
    <w:lvl w:ilvl="0" w:tplc="4D1A5B96">
      <w:start w:val="1"/>
      <w:numFmt w:val="upperLetter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CE64F7A"/>
    <w:multiLevelType w:val="multilevel"/>
    <w:tmpl w:val="96D6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87087D"/>
    <w:multiLevelType w:val="hybridMultilevel"/>
    <w:tmpl w:val="B2644CDC"/>
    <w:lvl w:ilvl="0" w:tplc="CB66ACE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431C482C"/>
    <w:multiLevelType w:val="hybridMultilevel"/>
    <w:tmpl w:val="78B8C730"/>
    <w:lvl w:ilvl="0" w:tplc="A3E41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15043"/>
    <w:multiLevelType w:val="hybridMultilevel"/>
    <w:tmpl w:val="EC3A1268"/>
    <w:lvl w:ilvl="0" w:tplc="CB66ACE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4A7D555A"/>
    <w:multiLevelType w:val="hybridMultilevel"/>
    <w:tmpl w:val="816462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C3505"/>
    <w:multiLevelType w:val="hybridMultilevel"/>
    <w:tmpl w:val="D9344B0C"/>
    <w:lvl w:ilvl="0" w:tplc="79A2E13A">
      <w:start w:val="1"/>
      <w:numFmt w:val="decimal"/>
      <w:lvlText w:val="%1."/>
      <w:lvlJc w:val="left"/>
      <w:pPr>
        <w:ind w:left="1689" w:hanging="555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64281FC1"/>
    <w:multiLevelType w:val="hybridMultilevel"/>
    <w:tmpl w:val="C6728F4A"/>
    <w:lvl w:ilvl="0" w:tplc="CB66ACE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4560"/>
    <w:multiLevelType w:val="hybridMultilevel"/>
    <w:tmpl w:val="37BA5586"/>
    <w:lvl w:ilvl="0" w:tplc="D8E434BA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372306F"/>
    <w:multiLevelType w:val="hybridMultilevel"/>
    <w:tmpl w:val="391430A0"/>
    <w:lvl w:ilvl="0" w:tplc="0BB45D7E">
      <w:start w:val="1"/>
      <w:numFmt w:val="decimal"/>
      <w:lvlText w:val="%1.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1277370688">
    <w:abstractNumId w:val="1"/>
  </w:num>
  <w:num w:numId="2" w16cid:durableId="1162161258">
    <w:abstractNumId w:val="0"/>
  </w:num>
  <w:num w:numId="3" w16cid:durableId="813256139">
    <w:abstractNumId w:val="2"/>
  </w:num>
  <w:num w:numId="4" w16cid:durableId="838083203">
    <w:abstractNumId w:val="3"/>
  </w:num>
  <w:num w:numId="5" w16cid:durableId="1792286587">
    <w:abstractNumId w:val="8"/>
  </w:num>
  <w:num w:numId="6" w16cid:durableId="310450622">
    <w:abstractNumId w:val="9"/>
  </w:num>
  <w:num w:numId="7" w16cid:durableId="756294454">
    <w:abstractNumId w:val="7"/>
  </w:num>
  <w:num w:numId="8" w16cid:durableId="1464155648">
    <w:abstractNumId w:val="6"/>
  </w:num>
  <w:num w:numId="9" w16cid:durableId="860389327">
    <w:abstractNumId w:val="5"/>
  </w:num>
  <w:num w:numId="10" w16cid:durableId="827093613">
    <w:abstractNumId w:val="4"/>
  </w:num>
  <w:num w:numId="11" w16cid:durableId="1933276517">
    <w:abstractNumId w:val="20"/>
  </w:num>
  <w:num w:numId="12" w16cid:durableId="259261597">
    <w:abstractNumId w:val="19"/>
  </w:num>
  <w:num w:numId="13" w16cid:durableId="1889678816">
    <w:abstractNumId w:val="10"/>
  </w:num>
  <w:num w:numId="14" w16cid:durableId="1906336155">
    <w:abstractNumId w:val="16"/>
  </w:num>
  <w:num w:numId="15" w16cid:durableId="884609500">
    <w:abstractNumId w:val="21"/>
  </w:num>
  <w:num w:numId="16" w16cid:durableId="783843079">
    <w:abstractNumId w:val="18"/>
  </w:num>
  <w:num w:numId="17" w16cid:durableId="439682773">
    <w:abstractNumId w:val="29"/>
  </w:num>
  <w:num w:numId="18" w16cid:durableId="346253164">
    <w:abstractNumId w:val="33"/>
  </w:num>
  <w:num w:numId="19" w16cid:durableId="308286664">
    <w:abstractNumId w:val="15"/>
  </w:num>
  <w:num w:numId="20" w16cid:durableId="1744568680">
    <w:abstractNumId w:val="14"/>
  </w:num>
  <w:num w:numId="21" w16cid:durableId="1322661153">
    <w:abstractNumId w:val="11"/>
  </w:num>
  <w:num w:numId="22" w16cid:durableId="2127306518">
    <w:abstractNumId w:val="32"/>
  </w:num>
  <w:num w:numId="23" w16cid:durableId="397167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2299392">
    <w:abstractNumId w:val="34"/>
  </w:num>
  <w:num w:numId="25" w16cid:durableId="1807161370">
    <w:abstractNumId w:val="22"/>
  </w:num>
  <w:num w:numId="26" w16cid:durableId="329187722">
    <w:abstractNumId w:val="30"/>
  </w:num>
  <w:num w:numId="27" w16cid:durableId="1151675414">
    <w:abstractNumId w:val="13"/>
  </w:num>
  <w:num w:numId="28" w16cid:durableId="613907631">
    <w:abstractNumId w:val="24"/>
  </w:num>
  <w:num w:numId="29" w16cid:durableId="1959027185">
    <w:abstractNumId w:val="28"/>
  </w:num>
  <w:num w:numId="30" w16cid:durableId="1958297724">
    <w:abstractNumId w:val="12"/>
  </w:num>
  <w:num w:numId="31" w16cid:durableId="17243286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81415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3708287">
    <w:abstractNumId w:val="23"/>
  </w:num>
  <w:num w:numId="34" w16cid:durableId="707992455">
    <w:abstractNumId w:val="25"/>
  </w:num>
  <w:num w:numId="35" w16cid:durableId="169830759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1152"/>
    <w:rsid w:val="00002A7D"/>
    <w:rsid w:val="000038A8"/>
    <w:rsid w:val="00004AC2"/>
    <w:rsid w:val="00005DF3"/>
    <w:rsid w:val="00006790"/>
    <w:rsid w:val="00007715"/>
    <w:rsid w:val="0001027C"/>
    <w:rsid w:val="00027624"/>
    <w:rsid w:val="000321F5"/>
    <w:rsid w:val="00032722"/>
    <w:rsid w:val="0003460A"/>
    <w:rsid w:val="00042DE2"/>
    <w:rsid w:val="00046DC3"/>
    <w:rsid w:val="00050F6B"/>
    <w:rsid w:val="00053C7A"/>
    <w:rsid w:val="00055DAE"/>
    <w:rsid w:val="000571BA"/>
    <w:rsid w:val="00066EC5"/>
    <w:rsid w:val="000678CD"/>
    <w:rsid w:val="00067DE1"/>
    <w:rsid w:val="00072C8C"/>
    <w:rsid w:val="00081CE0"/>
    <w:rsid w:val="00084D30"/>
    <w:rsid w:val="00090320"/>
    <w:rsid w:val="00091134"/>
    <w:rsid w:val="000931C0"/>
    <w:rsid w:val="00094B17"/>
    <w:rsid w:val="00097003"/>
    <w:rsid w:val="000A2392"/>
    <w:rsid w:val="000A2E09"/>
    <w:rsid w:val="000A79A1"/>
    <w:rsid w:val="000B175B"/>
    <w:rsid w:val="000B3A0F"/>
    <w:rsid w:val="000C1751"/>
    <w:rsid w:val="000C2502"/>
    <w:rsid w:val="000D5714"/>
    <w:rsid w:val="000E0415"/>
    <w:rsid w:val="000F6D5B"/>
    <w:rsid w:val="000F7715"/>
    <w:rsid w:val="00100617"/>
    <w:rsid w:val="0011264B"/>
    <w:rsid w:val="00117CD3"/>
    <w:rsid w:val="00122FEE"/>
    <w:rsid w:val="00124811"/>
    <w:rsid w:val="00125E5B"/>
    <w:rsid w:val="001479AD"/>
    <w:rsid w:val="00150BD4"/>
    <w:rsid w:val="00156B99"/>
    <w:rsid w:val="00163E62"/>
    <w:rsid w:val="00163E86"/>
    <w:rsid w:val="00166124"/>
    <w:rsid w:val="001711AD"/>
    <w:rsid w:val="00184DDA"/>
    <w:rsid w:val="00190062"/>
    <w:rsid w:val="001900CD"/>
    <w:rsid w:val="00191BFD"/>
    <w:rsid w:val="00197D37"/>
    <w:rsid w:val="001A0452"/>
    <w:rsid w:val="001A0F11"/>
    <w:rsid w:val="001A4F4F"/>
    <w:rsid w:val="001A5919"/>
    <w:rsid w:val="001A6B67"/>
    <w:rsid w:val="001B4B04"/>
    <w:rsid w:val="001B5875"/>
    <w:rsid w:val="001B7461"/>
    <w:rsid w:val="001C1B1F"/>
    <w:rsid w:val="001C2241"/>
    <w:rsid w:val="001C4B9C"/>
    <w:rsid w:val="001C6663"/>
    <w:rsid w:val="001C7895"/>
    <w:rsid w:val="001D26DF"/>
    <w:rsid w:val="001E00CE"/>
    <w:rsid w:val="001F02D2"/>
    <w:rsid w:val="001F1599"/>
    <w:rsid w:val="001F19C4"/>
    <w:rsid w:val="001F2B0F"/>
    <w:rsid w:val="001F2C2C"/>
    <w:rsid w:val="001F39A4"/>
    <w:rsid w:val="001F7D68"/>
    <w:rsid w:val="002043F0"/>
    <w:rsid w:val="0020574F"/>
    <w:rsid w:val="00211E0B"/>
    <w:rsid w:val="002131D0"/>
    <w:rsid w:val="0021329E"/>
    <w:rsid w:val="00214D43"/>
    <w:rsid w:val="00226968"/>
    <w:rsid w:val="00232575"/>
    <w:rsid w:val="00240D2D"/>
    <w:rsid w:val="00241C1D"/>
    <w:rsid w:val="00244033"/>
    <w:rsid w:val="00245FDC"/>
    <w:rsid w:val="00247258"/>
    <w:rsid w:val="0025425D"/>
    <w:rsid w:val="002571C7"/>
    <w:rsid w:val="00257CAC"/>
    <w:rsid w:val="002623CD"/>
    <w:rsid w:val="0026297C"/>
    <w:rsid w:val="00263056"/>
    <w:rsid w:val="00263346"/>
    <w:rsid w:val="00265E6C"/>
    <w:rsid w:val="0027237A"/>
    <w:rsid w:val="0028212E"/>
    <w:rsid w:val="00285DD0"/>
    <w:rsid w:val="002927BC"/>
    <w:rsid w:val="002974E9"/>
    <w:rsid w:val="00297AFC"/>
    <w:rsid w:val="00297D15"/>
    <w:rsid w:val="002A306B"/>
    <w:rsid w:val="002A4BA6"/>
    <w:rsid w:val="002A7C6A"/>
    <w:rsid w:val="002A7F94"/>
    <w:rsid w:val="002B109A"/>
    <w:rsid w:val="002B4585"/>
    <w:rsid w:val="002B5E4E"/>
    <w:rsid w:val="002C4B29"/>
    <w:rsid w:val="002C6D45"/>
    <w:rsid w:val="002D218E"/>
    <w:rsid w:val="002D6E53"/>
    <w:rsid w:val="002E1733"/>
    <w:rsid w:val="002F046D"/>
    <w:rsid w:val="002F3023"/>
    <w:rsid w:val="002F3D83"/>
    <w:rsid w:val="00301764"/>
    <w:rsid w:val="00302669"/>
    <w:rsid w:val="00302A4D"/>
    <w:rsid w:val="003078E2"/>
    <w:rsid w:val="00307AA1"/>
    <w:rsid w:val="00314C52"/>
    <w:rsid w:val="00315535"/>
    <w:rsid w:val="00316EB3"/>
    <w:rsid w:val="003229D8"/>
    <w:rsid w:val="003311AC"/>
    <w:rsid w:val="00332D23"/>
    <w:rsid w:val="00335083"/>
    <w:rsid w:val="00336C97"/>
    <w:rsid w:val="00337F88"/>
    <w:rsid w:val="0034076F"/>
    <w:rsid w:val="00342432"/>
    <w:rsid w:val="0035223F"/>
    <w:rsid w:val="00352D4B"/>
    <w:rsid w:val="0035638C"/>
    <w:rsid w:val="00356E3F"/>
    <w:rsid w:val="003609C5"/>
    <w:rsid w:val="00362BC7"/>
    <w:rsid w:val="003712BD"/>
    <w:rsid w:val="00380EC9"/>
    <w:rsid w:val="003942E9"/>
    <w:rsid w:val="003A46BB"/>
    <w:rsid w:val="003A4EC7"/>
    <w:rsid w:val="003A7295"/>
    <w:rsid w:val="003B1F60"/>
    <w:rsid w:val="003B2523"/>
    <w:rsid w:val="003B4AB5"/>
    <w:rsid w:val="003C15F6"/>
    <w:rsid w:val="003C1D41"/>
    <w:rsid w:val="003C2CC4"/>
    <w:rsid w:val="003C5099"/>
    <w:rsid w:val="003C7C32"/>
    <w:rsid w:val="003D4731"/>
    <w:rsid w:val="003D4B23"/>
    <w:rsid w:val="003D6F04"/>
    <w:rsid w:val="003D7076"/>
    <w:rsid w:val="003E1E15"/>
    <w:rsid w:val="003E278A"/>
    <w:rsid w:val="003E4AC9"/>
    <w:rsid w:val="003F490A"/>
    <w:rsid w:val="003F4C24"/>
    <w:rsid w:val="00401519"/>
    <w:rsid w:val="00404DDD"/>
    <w:rsid w:val="004061B1"/>
    <w:rsid w:val="00412A88"/>
    <w:rsid w:val="00413520"/>
    <w:rsid w:val="004200F6"/>
    <w:rsid w:val="0042505B"/>
    <w:rsid w:val="004325CB"/>
    <w:rsid w:val="0043730F"/>
    <w:rsid w:val="00440A07"/>
    <w:rsid w:val="00445CC9"/>
    <w:rsid w:val="004466CB"/>
    <w:rsid w:val="00462880"/>
    <w:rsid w:val="00466027"/>
    <w:rsid w:val="00467936"/>
    <w:rsid w:val="00476F24"/>
    <w:rsid w:val="00477FED"/>
    <w:rsid w:val="004A394F"/>
    <w:rsid w:val="004A5D33"/>
    <w:rsid w:val="004B0BE2"/>
    <w:rsid w:val="004B131D"/>
    <w:rsid w:val="004B59B1"/>
    <w:rsid w:val="004C429E"/>
    <w:rsid w:val="004C55B0"/>
    <w:rsid w:val="004C634F"/>
    <w:rsid w:val="004D027A"/>
    <w:rsid w:val="004D1F38"/>
    <w:rsid w:val="004D6037"/>
    <w:rsid w:val="004D61DC"/>
    <w:rsid w:val="004E22EC"/>
    <w:rsid w:val="004E5236"/>
    <w:rsid w:val="004F1AE5"/>
    <w:rsid w:val="004F5056"/>
    <w:rsid w:val="004F6BA0"/>
    <w:rsid w:val="00500DF4"/>
    <w:rsid w:val="00503BEA"/>
    <w:rsid w:val="00513451"/>
    <w:rsid w:val="005159CC"/>
    <w:rsid w:val="00522A8D"/>
    <w:rsid w:val="0052311B"/>
    <w:rsid w:val="00525473"/>
    <w:rsid w:val="00526BCE"/>
    <w:rsid w:val="00532D19"/>
    <w:rsid w:val="00533616"/>
    <w:rsid w:val="00535ABA"/>
    <w:rsid w:val="0053631D"/>
    <w:rsid w:val="0053768B"/>
    <w:rsid w:val="00540897"/>
    <w:rsid w:val="005420F2"/>
    <w:rsid w:val="0054285C"/>
    <w:rsid w:val="0054432D"/>
    <w:rsid w:val="00545A60"/>
    <w:rsid w:val="00555D3D"/>
    <w:rsid w:val="00560EA8"/>
    <w:rsid w:val="0056147D"/>
    <w:rsid w:val="0056327D"/>
    <w:rsid w:val="00567F11"/>
    <w:rsid w:val="00570C4A"/>
    <w:rsid w:val="00571D01"/>
    <w:rsid w:val="00584173"/>
    <w:rsid w:val="00595520"/>
    <w:rsid w:val="00595A38"/>
    <w:rsid w:val="005A0727"/>
    <w:rsid w:val="005A44B9"/>
    <w:rsid w:val="005A7F9E"/>
    <w:rsid w:val="005B1BA0"/>
    <w:rsid w:val="005B345E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3C2D"/>
    <w:rsid w:val="00604DDD"/>
    <w:rsid w:val="006063F1"/>
    <w:rsid w:val="006107D6"/>
    <w:rsid w:val="006115CC"/>
    <w:rsid w:val="00611FC4"/>
    <w:rsid w:val="0061585C"/>
    <w:rsid w:val="006176FB"/>
    <w:rsid w:val="006238B7"/>
    <w:rsid w:val="00630FCB"/>
    <w:rsid w:val="00631A6D"/>
    <w:rsid w:val="0063224C"/>
    <w:rsid w:val="00635763"/>
    <w:rsid w:val="00636948"/>
    <w:rsid w:val="006369C0"/>
    <w:rsid w:val="00640B26"/>
    <w:rsid w:val="00642DD9"/>
    <w:rsid w:val="00650445"/>
    <w:rsid w:val="0065766B"/>
    <w:rsid w:val="006606E4"/>
    <w:rsid w:val="00660B25"/>
    <w:rsid w:val="006770B2"/>
    <w:rsid w:val="00686A48"/>
    <w:rsid w:val="0068763C"/>
    <w:rsid w:val="006940E1"/>
    <w:rsid w:val="006A3C72"/>
    <w:rsid w:val="006A3D28"/>
    <w:rsid w:val="006A4F48"/>
    <w:rsid w:val="006A7392"/>
    <w:rsid w:val="006B03A1"/>
    <w:rsid w:val="006B67D9"/>
    <w:rsid w:val="006C49CA"/>
    <w:rsid w:val="006C5535"/>
    <w:rsid w:val="006C5C1F"/>
    <w:rsid w:val="006D0589"/>
    <w:rsid w:val="006D06CB"/>
    <w:rsid w:val="006D3907"/>
    <w:rsid w:val="006E431D"/>
    <w:rsid w:val="006E564B"/>
    <w:rsid w:val="006E636E"/>
    <w:rsid w:val="006E7154"/>
    <w:rsid w:val="006F36D9"/>
    <w:rsid w:val="006F4819"/>
    <w:rsid w:val="007003CD"/>
    <w:rsid w:val="007033D5"/>
    <w:rsid w:val="0070621E"/>
    <w:rsid w:val="0070701E"/>
    <w:rsid w:val="007073EE"/>
    <w:rsid w:val="00717339"/>
    <w:rsid w:val="0072632A"/>
    <w:rsid w:val="00726C6E"/>
    <w:rsid w:val="007333E0"/>
    <w:rsid w:val="007358E8"/>
    <w:rsid w:val="00736ECE"/>
    <w:rsid w:val="0074533B"/>
    <w:rsid w:val="007517FA"/>
    <w:rsid w:val="0075470F"/>
    <w:rsid w:val="00754955"/>
    <w:rsid w:val="007643BC"/>
    <w:rsid w:val="00775418"/>
    <w:rsid w:val="00780C68"/>
    <w:rsid w:val="00781FEA"/>
    <w:rsid w:val="007959FE"/>
    <w:rsid w:val="0079639F"/>
    <w:rsid w:val="007A0144"/>
    <w:rsid w:val="007A0CF1"/>
    <w:rsid w:val="007A30E0"/>
    <w:rsid w:val="007A7AA0"/>
    <w:rsid w:val="007B605E"/>
    <w:rsid w:val="007B6BA5"/>
    <w:rsid w:val="007C0B09"/>
    <w:rsid w:val="007C238D"/>
    <w:rsid w:val="007C3390"/>
    <w:rsid w:val="007C42D8"/>
    <w:rsid w:val="007C4F4B"/>
    <w:rsid w:val="007C7172"/>
    <w:rsid w:val="007D033E"/>
    <w:rsid w:val="007D6F65"/>
    <w:rsid w:val="007D7362"/>
    <w:rsid w:val="007E5050"/>
    <w:rsid w:val="007E6D2A"/>
    <w:rsid w:val="007F44CF"/>
    <w:rsid w:val="007F5CE2"/>
    <w:rsid w:val="007F6611"/>
    <w:rsid w:val="007F6EE7"/>
    <w:rsid w:val="008064AF"/>
    <w:rsid w:val="00807B4B"/>
    <w:rsid w:val="00810BAC"/>
    <w:rsid w:val="00812654"/>
    <w:rsid w:val="00814C29"/>
    <w:rsid w:val="008175E9"/>
    <w:rsid w:val="00821F8A"/>
    <w:rsid w:val="00822726"/>
    <w:rsid w:val="008242D7"/>
    <w:rsid w:val="0082577B"/>
    <w:rsid w:val="00825CB5"/>
    <w:rsid w:val="00827502"/>
    <w:rsid w:val="008326AC"/>
    <w:rsid w:val="00837954"/>
    <w:rsid w:val="00842992"/>
    <w:rsid w:val="00844B3C"/>
    <w:rsid w:val="0084530C"/>
    <w:rsid w:val="00847EB7"/>
    <w:rsid w:val="008514D5"/>
    <w:rsid w:val="008546AE"/>
    <w:rsid w:val="00860866"/>
    <w:rsid w:val="00866893"/>
    <w:rsid w:val="00866F02"/>
    <w:rsid w:val="00867D18"/>
    <w:rsid w:val="00871F9A"/>
    <w:rsid w:val="00871FD5"/>
    <w:rsid w:val="00872FA3"/>
    <w:rsid w:val="008761CE"/>
    <w:rsid w:val="0088172E"/>
    <w:rsid w:val="00881EFA"/>
    <w:rsid w:val="008879CB"/>
    <w:rsid w:val="00887A29"/>
    <w:rsid w:val="008979B1"/>
    <w:rsid w:val="008A6B25"/>
    <w:rsid w:val="008A6C4F"/>
    <w:rsid w:val="008A72A3"/>
    <w:rsid w:val="008B389E"/>
    <w:rsid w:val="008B455F"/>
    <w:rsid w:val="008C2D83"/>
    <w:rsid w:val="008D045E"/>
    <w:rsid w:val="008D3F25"/>
    <w:rsid w:val="008D4D82"/>
    <w:rsid w:val="008D7871"/>
    <w:rsid w:val="008E0E46"/>
    <w:rsid w:val="008E6CDE"/>
    <w:rsid w:val="008E7116"/>
    <w:rsid w:val="008F143B"/>
    <w:rsid w:val="008F3882"/>
    <w:rsid w:val="008F4B7C"/>
    <w:rsid w:val="008F6C58"/>
    <w:rsid w:val="009024DA"/>
    <w:rsid w:val="009047E5"/>
    <w:rsid w:val="0090694B"/>
    <w:rsid w:val="0091218D"/>
    <w:rsid w:val="00912398"/>
    <w:rsid w:val="00913520"/>
    <w:rsid w:val="00914C66"/>
    <w:rsid w:val="00916861"/>
    <w:rsid w:val="009226F4"/>
    <w:rsid w:val="0092556A"/>
    <w:rsid w:val="00925D06"/>
    <w:rsid w:val="00926E47"/>
    <w:rsid w:val="00947162"/>
    <w:rsid w:val="00960D73"/>
    <w:rsid w:val="009610D0"/>
    <w:rsid w:val="0096375C"/>
    <w:rsid w:val="009662E6"/>
    <w:rsid w:val="0097095E"/>
    <w:rsid w:val="00974A31"/>
    <w:rsid w:val="00981D5F"/>
    <w:rsid w:val="0098592B"/>
    <w:rsid w:val="00985FC4"/>
    <w:rsid w:val="00990029"/>
    <w:rsid w:val="00990766"/>
    <w:rsid w:val="00991261"/>
    <w:rsid w:val="009964C4"/>
    <w:rsid w:val="009A7B81"/>
    <w:rsid w:val="009B011B"/>
    <w:rsid w:val="009B15C0"/>
    <w:rsid w:val="009B1B92"/>
    <w:rsid w:val="009B5071"/>
    <w:rsid w:val="009B7DA4"/>
    <w:rsid w:val="009B7EB7"/>
    <w:rsid w:val="009C6289"/>
    <w:rsid w:val="009C6FDE"/>
    <w:rsid w:val="009D01C0"/>
    <w:rsid w:val="009D3639"/>
    <w:rsid w:val="009D6A08"/>
    <w:rsid w:val="009E0A16"/>
    <w:rsid w:val="009E2CF2"/>
    <w:rsid w:val="009E3546"/>
    <w:rsid w:val="009E6CB7"/>
    <w:rsid w:val="009E7970"/>
    <w:rsid w:val="009F2EAC"/>
    <w:rsid w:val="009F4051"/>
    <w:rsid w:val="009F57E3"/>
    <w:rsid w:val="00A0031F"/>
    <w:rsid w:val="00A0079A"/>
    <w:rsid w:val="00A01116"/>
    <w:rsid w:val="00A0760E"/>
    <w:rsid w:val="00A077A2"/>
    <w:rsid w:val="00A10F4F"/>
    <w:rsid w:val="00A11067"/>
    <w:rsid w:val="00A126E4"/>
    <w:rsid w:val="00A13D4C"/>
    <w:rsid w:val="00A1622B"/>
    <w:rsid w:val="00A1704A"/>
    <w:rsid w:val="00A17DE6"/>
    <w:rsid w:val="00A224A6"/>
    <w:rsid w:val="00A25897"/>
    <w:rsid w:val="00A332B2"/>
    <w:rsid w:val="00A353AD"/>
    <w:rsid w:val="00A36AC2"/>
    <w:rsid w:val="00A425EB"/>
    <w:rsid w:val="00A53D88"/>
    <w:rsid w:val="00A55EC9"/>
    <w:rsid w:val="00A57655"/>
    <w:rsid w:val="00A65651"/>
    <w:rsid w:val="00A7299E"/>
    <w:rsid w:val="00A72F22"/>
    <w:rsid w:val="00A733BC"/>
    <w:rsid w:val="00A748A6"/>
    <w:rsid w:val="00A762CC"/>
    <w:rsid w:val="00A76A69"/>
    <w:rsid w:val="00A76DCC"/>
    <w:rsid w:val="00A8357C"/>
    <w:rsid w:val="00A83E10"/>
    <w:rsid w:val="00A879A4"/>
    <w:rsid w:val="00A92B39"/>
    <w:rsid w:val="00A974B9"/>
    <w:rsid w:val="00AA0FF8"/>
    <w:rsid w:val="00AA70AC"/>
    <w:rsid w:val="00AA7BCD"/>
    <w:rsid w:val="00AB65D0"/>
    <w:rsid w:val="00AB6FE8"/>
    <w:rsid w:val="00AB7431"/>
    <w:rsid w:val="00AC0F2C"/>
    <w:rsid w:val="00AC1906"/>
    <w:rsid w:val="00AC39C7"/>
    <w:rsid w:val="00AC502A"/>
    <w:rsid w:val="00AD5001"/>
    <w:rsid w:val="00AD68FB"/>
    <w:rsid w:val="00AE1E26"/>
    <w:rsid w:val="00AE28BB"/>
    <w:rsid w:val="00AF2925"/>
    <w:rsid w:val="00AF58C1"/>
    <w:rsid w:val="00AF79AC"/>
    <w:rsid w:val="00B04A3F"/>
    <w:rsid w:val="00B050D0"/>
    <w:rsid w:val="00B06643"/>
    <w:rsid w:val="00B146E4"/>
    <w:rsid w:val="00B14C6C"/>
    <w:rsid w:val="00B15055"/>
    <w:rsid w:val="00B20551"/>
    <w:rsid w:val="00B30179"/>
    <w:rsid w:val="00B30370"/>
    <w:rsid w:val="00B31E0B"/>
    <w:rsid w:val="00B33FC7"/>
    <w:rsid w:val="00B35A75"/>
    <w:rsid w:val="00B36ED0"/>
    <w:rsid w:val="00B373E6"/>
    <w:rsid w:val="00B37B15"/>
    <w:rsid w:val="00B4162A"/>
    <w:rsid w:val="00B41D3D"/>
    <w:rsid w:val="00B43F13"/>
    <w:rsid w:val="00B45C02"/>
    <w:rsid w:val="00B50804"/>
    <w:rsid w:val="00B51608"/>
    <w:rsid w:val="00B527C7"/>
    <w:rsid w:val="00B60C26"/>
    <w:rsid w:val="00B614BD"/>
    <w:rsid w:val="00B70B63"/>
    <w:rsid w:val="00B72A1E"/>
    <w:rsid w:val="00B77C0C"/>
    <w:rsid w:val="00B802CB"/>
    <w:rsid w:val="00B81E12"/>
    <w:rsid w:val="00B90771"/>
    <w:rsid w:val="00B956A8"/>
    <w:rsid w:val="00B96983"/>
    <w:rsid w:val="00BA339B"/>
    <w:rsid w:val="00BB23CC"/>
    <w:rsid w:val="00BC1E7E"/>
    <w:rsid w:val="00BC3C5D"/>
    <w:rsid w:val="00BC6EB3"/>
    <w:rsid w:val="00BC74E9"/>
    <w:rsid w:val="00BD25D7"/>
    <w:rsid w:val="00BE0D63"/>
    <w:rsid w:val="00BE36A9"/>
    <w:rsid w:val="00BE5ECE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64CD"/>
    <w:rsid w:val="00C029A3"/>
    <w:rsid w:val="00C044E2"/>
    <w:rsid w:val="00C048CB"/>
    <w:rsid w:val="00C04E86"/>
    <w:rsid w:val="00C066F3"/>
    <w:rsid w:val="00C0769B"/>
    <w:rsid w:val="00C101A8"/>
    <w:rsid w:val="00C15E44"/>
    <w:rsid w:val="00C17AF1"/>
    <w:rsid w:val="00C30727"/>
    <w:rsid w:val="00C326B3"/>
    <w:rsid w:val="00C33820"/>
    <w:rsid w:val="00C43D3E"/>
    <w:rsid w:val="00C45831"/>
    <w:rsid w:val="00C461BF"/>
    <w:rsid w:val="00C463DD"/>
    <w:rsid w:val="00C60C2F"/>
    <w:rsid w:val="00C6171D"/>
    <w:rsid w:val="00C7033A"/>
    <w:rsid w:val="00C73994"/>
    <w:rsid w:val="00C745C3"/>
    <w:rsid w:val="00C76116"/>
    <w:rsid w:val="00C81C29"/>
    <w:rsid w:val="00C8320E"/>
    <w:rsid w:val="00C850BC"/>
    <w:rsid w:val="00C978F5"/>
    <w:rsid w:val="00CA01E6"/>
    <w:rsid w:val="00CA0DBE"/>
    <w:rsid w:val="00CA1BD0"/>
    <w:rsid w:val="00CA24A4"/>
    <w:rsid w:val="00CA6DFB"/>
    <w:rsid w:val="00CB348D"/>
    <w:rsid w:val="00CC07F9"/>
    <w:rsid w:val="00CC161B"/>
    <w:rsid w:val="00CC21CD"/>
    <w:rsid w:val="00CC251F"/>
    <w:rsid w:val="00CC5A4D"/>
    <w:rsid w:val="00CC5E67"/>
    <w:rsid w:val="00CC7198"/>
    <w:rsid w:val="00CD28D2"/>
    <w:rsid w:val="00CD2C3C"/>
    <w:rsid w:val="00CD2E9E"/>
    <w:rsid w:val="00CD46F5"/>
    <w:rsid w:val="00CD4DFD"/>
    <w:rsid w:val="00CD5015"/>
    <w:rsid w:val="00CD55E9"/>
    <w:rsid w:val="00CD59C1"/>
    <w:rsid w:val="00CE4A8F"/>
    <w:rsid w:val="00CF071D"/>
    <w:rsid w:val="00CF6398"/>
    <w:rsid w:val="00CF6DFB"/>
    <w:rsid w:val="00D0123D"/>
    <w:rsid w:val="00D06692"/>
    <w:rsid w:val="00D15B04"/>
    <w:rsid w:val="00D2031B"/>
    <w:rsid w:val="00D20F91"/>
    <w:rsid w:val="00D21633"/>
    <w:rsid w:val="00D25FE2"/>
    <w:rsid w:val="00D35180"/>
    <w:rsid w:val="00D3732E"/>
    <w:rsid w:val="00D37DA9"/>
    <w:rsid w:val="00D406A7"/>
    <w:rsid w:val="00D41AE9"/>
    <w:rsid w:val="00D425DF"/>
    <w:rsid w:val="00D43252"/>
    <w:rsid w:val="00D44D86"/>
    <w:rsid w:val="00D4681B"/>
    <w:rsid w:val="00D46933"/>
    <w:rsid w:val="00D50B7D"/>
    <w:rsid w:val="00D52012"/>
    <w:rsid w:val="00D5202F"/>
    <w:rsid w:val="00D54AA3"/>
    <w:rsid w:val="00D617BF"/>
    <w:rsid w:val="00D704E5"/>
    <w:rsid w:val="00D72727"/>
    <w:rsid w:val="00D83B71"/>
    <w:rsid w:val="00D92396"/>
    <w:rsid w:val="00D9427A"/>
    <w:rsid w:val="00D946C2"/>
    <w:rsid w:val="00D951F6"/>
    <w:rsid w:val="00D978C6"/>
    <w:rsid w:val="00DA0956"/>
    <w:rsid w:val="00DA357F"/>
    <w:rsid w:val="00DA3E12"/>
    <w:rsid w:val="00DA4201"/>
    <w:rsid w:val="00DA7889"/>
    <w:rsid w:val="00DA7DE6"/>
    <w:rsid w:val="00DB24BD"/>
    <w:rsid w:val="00DC18AD"/>
    <w:rsid w:val="00DC3986"/>
    <w:rsid w:val="00DD4516"/>
    <w:rsid w:val="00DD5B88"/>
    <w:rsid w:val="00DE039E"/>
    <w:rsid w:val="00DE7C29"/>
    <w:rsid w:val="00DF407D"/>
    <w:rsid w:val="00DF6D76"/>
    <w:rsid w:val="00DF7CAE"/>
    <w:rsid w:val="00E02582"/>
    <w:rsid w:val="00E04010"/>
    <w:rsid w:val="00E163F7"/>
    <w:rsid w:val="00E17538"/>
    <w:rsid w:val="00E31BDD"/>
    <w:rsid w:val="00E3546F"/>
    <w:rsid w:val="00E35CEB"/>
    <w:rsid w:val="00E423C0"/>
    <w:rsid w:val="00E44BCE"/>
    <w:rsid w:val="00E5181F"/>
    <w:rsid w:val="00E56C64"/>
    <w:rsid w:val="00E6414C"/>
    <w:rsid w:val="00E66155"/>
    <w:rsid w:val="00E678F6"/>
    <w:rsid w:val="00E70596"/>
    <w:rsid w:val="00E7260F"/>
    <w:rsid w:val="00E80200"/>
    <w:rsid w:val="00E82F3E"/>
    <w:rsid w:val="00E8702D"/>
    <w:rsid w:val="00E879E8"/>
    <w:rsid w:val="00E905F4"/>
    <w:rsid w:val="00E90848"/>
    <w:rsid w:val="00E916A9"/>
    <w:rsid w:val="00E916DE"/>
    <w:rsid w:val="00E925AD"/>
    <w:rsid w:val="00E96630"/>
    <w:rsid w:val="00E97BD1"/>
    <w:rsid w:val="00EB0DD2"/>
    <w:rsid w:val="00EB0F5A"/>
    <w:rsid w:val="00EB2F8B"/>
    <w:rsid w:val="00EB4F0E"/>
    <w:rsid w:val="00EB50E0"/>
    <w:rsid w:val="00ED18DC"/>
    <w:rsid w:val="00ED2C7F"/>
    <w:rsid w:val="00ED4862"/>
    <w:rsid w:val="00ED588A"/>
    <w:rsid w:val="00ED6201"/>
    <w:rsid w:val="00ED72FA"/>
    <w:rsid w:val="00ED7A2A"/>
    <w:rsid w:val="00EE0121"/>
    <w:rsid w:val="00EE08F1"/>
    <w:rsid w:val="00EE31F8"/>
    <w:rsid w:val="00EF0E5F"/>
    <w:rsid w:val="00EF17E8"/>
    <w:rsid w:val="00EF1D7F"/>
    <w:rsid w:val="00EF4203"/>
    <w:rsid w:val="00F0137E"/>
    <w:rsid w:val="00F04E44"/>
    <w:rsid w:val="00F062D3"/>
    <w:rsid w:val="00F1177D"/>
    <w:rsid w:val="00F174DF"/>
    <w:rsid w:val="00F21786"/>
    <w:rsid w:val="00F23425"/>
    <w:rsid w:val="00F25D06"/>
    <w:rsid w:val="00F26128"/>
    <w:rsid w:val="00F31CD7"/>
    <w:rsid w:val="00F31CFF"/>
    <w:rsid w:val="00F3742B"/>
    <w:rsid w:val="00F37528"/>
    <w:rsid w:val="00F40C3C"/>
    <w:rsid w:val="00F41FDB"/>
    <w:rsid w:val="00F50597"/>
    <w:rsid w:val="00F56D63"/>
    <w:rsid w:val="00F609A9"/>
    <w:rsid w:val="00F60F83"/>
    <w:rsid w:val="00F6206D"/>
    <w:rsid w:val="00F80C99"/>
    <w:rsid w:val="00F84DD3"/>
    <w:rsid w:val="00F85C40"/>
    <w:rsid w:val="00F867EC"/>
    <w:rsid w:val="00F86A99"/>
    <w:rsid w:val="00F903D7"/>
    <w:rsid w:val="00F90900"/>
    <w:rsid w:val="00F91B2B"/>
    <w:rsid w:val="00FB3BC5"/>
    <w:rsid w:val="00FC03CD"/>
    <w:rsid w:val="00FC0646"/>
    <w:rsid w:val="00FC2B46"/>
    <w:rsid w:val="00FC5E6B"/>
    <w:rsid w:val="00FC68B7"/>
    <w:rsid w:val="00FD185C"/>
    <w:rsid w:val="00FD3517"/>
    <w:rsid w:val="00FE44BF"/>
    <w:rsid w:val="00FE4E40"/>
    <w:rsid w:val="00FE6985"/>
    <w:rsid w:val="00FF11EA"/>
    <w:rsid w:val="00FF35D7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6B6CF0A7-DEFC-4BB3-9311-1C52F50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7E8"/>
    <w:pPr>
      <w:suppressAutoHyphens/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7E8"/>
    <w:rPr>
      <w:rFonts w:eastAsia="MS Mincho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B7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746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B74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B746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BC3C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3C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C3C5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C5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4B792-5F78-4663-883F-1582B471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purl.org/dc/terms/"/>
    <ds:schemaRef ds:uri="4b4a1c0d-4a69-4996-a84a-fc699b9f49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5ec44e-1bab-4c0b-9df0-6ba128686fc9"/>
    <ds:schemaRef ds:uri="acccb6d4-dbe5-46d2-b4d3-5733603d8c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4222</Characters>
  <Application>Microsoft Office Word</Application>
  <DocSecurity>0</DocSecurity>
  <Lines>84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ECE/TRANS/WP.29/GRVA/2025/XX</vt:lpstr>
      <vt:lpstr>ECE/TRANS/WP.29/2025/13</vt:lpstr>
    </vt:vector>
  </TitlesOfParts>
  <Company>CSD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ECE/TRANS/WP.29/GRVA/2025/48</dc:title>
  <dc:subject>2511256</dc:subject>
  <dc:creator>PESSIA Romain</dc:creator>
  <cp:keywords/>
  <dc:description/>
  <cp:lastModifiedBy>Anni Vi Tirol</cp:lastModifiedBy>
  <cp:revision>2</cp:revision>
  <cp:lastPrinted>2009-02-18T09:36:00Z</cp:lastPrinted>
  <dcterms:created xsi:type="dcterms:W3CDTF">2025-07-10T09:52:00Z</dcterms:created>
  <dcterms:modified xsi:type="dcterms:W3CDTF">2025-07-10T09:52:00Z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lassificationContentMarkingFooterShapeIds">
    <vt:lpwstr>7e70559,4bcd9ee0,5d875381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GUARDED</vt:lpwstr>
  </property>
  <property fmtid="{D5CDD505-2E9C-101B-9397-08002B2CF9AE}" pid="10" name="MSIP_Label_7a545e4c-6cab-4d5b-a87e-611e0335e3da_Enabled">
    <vt:lpwstr>true</vt:lpwstr>
  </property>
  <property fmtid="{D5CDD505-2E9C-101B-9397-08002B2CF9AE}" pid="11" name="MSIP_Label_7a545e4c-6cab-4d5b-a87e-611e0335e3da_SetDate">
    <vt:lpwstr>2025-06-16T09:18:53Z</vt:lpwstr>
  </property>
  <property fmtid="{D5CDD505-2E9C-101B-9397-08002B2CF9AE}" pid="12" name="MSIP_Label_7a545e4c-6cab-4d5b-a87e-611e0335e3da_Method">
    <vt:lpwstr>Privileged</vt:lpwstr>
  </property>
  <property fmtid="{D5CDD505-2E9C-101B-9397-08002B2CF9AE}" pid="13" name="MSIP_Label_7a545e4c-6cab-4d5b-a87e-611e0335e3da_Name">
    <vt:lpwstr>Internal - Guarded</vt:lpwstr>
  </property>
  <property fmtid="{D5CDD505-2E9C-101B-9397-08002B2CF9AE}" pid="14" name="MSIP_Label_7a545e4c-6cab-4d5b-a87e-611e0335e3da_SiteId">
    <vt:lpwstr>fbc4aea1-9238-4677-8c87-8255c83d2573</vt:lpwstr>
  </property>
  <property fmtid="{D5CDD505-2E9C-101B-9397-08002B2CF9AE}" pid="15" name="MSIP_Label_7a545e4c-6cab-4d5b-a87e-611e0335e3da_ActionId">
    <vt:lpwstr>a2df6b3c-3480-46ba-a6e7-e18d66e1269f</vt:lpwstr>
  </property>
  <property fmtid="{D5CDD505-2E9C-101B-9397-08002B2CF9AE}" pid="16" name="MSIP_Label_7a545e4c-6cab-4d5b-a87e-611e0335e3da_ContentBits">
    <vt:lpwstr>2</vt:lpwstr>
  </property>
  <property fmtid="{D5CDD505-2E9C-101B-9397-08002B2CF9AE}" pid="17" name="MSIP_Label_7a545e4c-6cab-4d5b-a87e-611e0335e3da_Tag">
    <vt:lpwstr>10, 0, 1, 1</vt:lpwstr>
  </property>
</Properties>
</file>