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3F464F5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97521EE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DA38C3E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647E5C3" w14:textId="67774937" w:rsidR="009E6CB7" w:rsidRPr="00D47EEA" w:rsidRDefault="00F757C0" w:rsidP="006217CA">
            <w:pPr>
              <w:jc w:val="right"/>
            </w:pPr>
            <w:r w:rsidRPr="00F757C0">
              <w:rPr>
                <w:sz w:val="40"/>
              </w:rPr>
              <w:t>ECE</w:t>
            </w:r>
            <w:r>
              <w:t>/TRANS/WP.29/2024/169</w:t>
            </w:r>
          </w:p>
        </w:tc>
      </w:tr>
      <w:tr w:rsidR="009E6CB7" w14:paraId="37FC1F98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75FA7C9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964C921" wp14:editId="2A84DD0B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BB48D4D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4CFC9B7" w14:textId="77777777" w:rsidR="009E6CB7" w:rsidRDefault="006217CA" w:rsidP="006217CA">
            <w:pPr>
              <w:spacing w:before="240" w:line="240" w:lineRule="exact"/>
            </w:pPr>
            <w:r>
              <w:t>Distr.: General</w:t>
            </w:r>
          </w:p>
          <w:p w14:paraId="3A601768" w14:textId="334B8AF4" w:rsidR="006217CA" w:rsidRDefault="006217CA" w:rsidP="00B70B4B">
            <w:pPr>
              <w:spacing w:line="240" w:lineRule="exact"/>
            </w:pPr>
            <w:r>
              <w:t xml:space="preserve">2 </w:t>
            </w:r>
            <w:r w:rsidR="00AC732C">
              <w:t>October</w:t>
            </w:r>
            <w:r>
              <w:t xml:space="preserve"> 2024</w:t>
            </w:r>
          </w:p>
          <w:p w14:paraId="19384BC7" w14:textId="77777777" w:rsidR="006217CA" w:rsidRDefault="006217CA" w:rsidP="006217CA">
            <w:pPr>
              <w:spacing w:line="240" w:lineRule="exact"/>
            </w:pPr>
          </w:p>
          <w:p w14:paraId="589DC785" w14:textId="1FBFCB71" w:rsidR="006217CA" w:rsidRDefault="006217CA" w:rsidP="006217CA">
            <w:pPr>
              <w:spacing w:line="240" w:lineRule="exact"/>
            </w:pPr>
            <w:r>
              <w:t>Original: English</w:t>
            </w:r>
          </w:p>
        </w:tc>
      </w:tr>
    </w:tbl>
    <w:p w14:paraId="22B2DB3F" w14:textId="77777777" w:rsidR="006217CA" w:rsidRDefault="006217CA" w:rsidP="006217CA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4291D528" w14:textId="77777777" w:rsidR="006217CA" w:rsidRDefault="006217CA" w:rsidP="006217C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6FAB2E21" w14:textId="77777777" w:rsidR="006217CA" w:rsidRDefault="006217CA" w:rsidP="006217CA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5159696" w14:textId="77777777" w:rsidR="006217CA" w:rsidRDefault="006217CA" w:rsidP="006217CA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783EAFDC" w14:textId="15EEAB40" w:rsidR="006217CA" w:rsidRDefault="006217CA" w:rsidP="006217CA">
      <w:pPr>
        <w:tabs>
          <w:tab w:val="left" w:pos="5560"/>
        </w:tabs>
      </w:pPr>
      <w:r>
        <w:t>Geneva, 12–15 November 2024</w:t>
      </w:r>
    </w:p>
    <w:p w14:paraId="17ED940B" w14:textId="4E6D294B" w:rsidR="006217CA" w:rsidRDefault="006217CA" w:rsidP="006217CA">
      <w:r>
        <w:t>Item 4.</w:t>
      </w:r>
      <w:r w:rsidR="00CD53B1">
        <w:t>7.</w:t>
      </w:r>
      <w:r w:rsidR="00D75AD6">
        <w:t>2</w:t>
      </w:r>
      <w:r>
        <w:t>3 of the provisional agenda</w:t>
      </w:r>
    </w:p>
    <w:p w14:paraId="10552D0F" w14:textId="77777777" w:rsidR="006217CA" w:rsidRDefault="006217CA" w:rsidP="006217CA">
      <w:pPr>
        <w:rPr>
          <w:b/>
        </w:rPr>
      </w:pPr>
      <w:r>
        <w:rPr>
          <w:b/>
        </w:rPr>
        <w:t>1958 Agreement:</w:t>
      </w:r>
    </w:p>
    <w:p w14:paraId="2EAE61BB" w14:textId="77777777" w:rsidR="006217CA" w:rsidRDefault="006217CA" w:rsidP="006217CA">
      <w:pPr>
        <w:rPr>
          <w:b/>
        </w:rPr>
      </w:pPr>
      <w:r>
        <w:rPr>
          <w:b/>
        </w:rPr>
        <w:t>Consideration of draft amendments to existing</w:t>
      </w:r>
    </w:p>
    <w:p w14:paraId="72E80F22" w14:textId="77777777" w:rsidR="006217CA" w:rsidRDefault="006217CA" w:rsidP="006217CA">
      <w:pPr>
        <w:rPr>
          <w:b/>
          <w:bCs/>
        </w:rPr>
      </w:pPr>
      <w:r>
        <w:rPr>
          <w:b/>
        </w:rPr>
        <w:t>UN Regulations submitted by GRSG</w:t>
      </w:r>
    </w:p>
    <w:p w14:paraId="4B998123" w14:textId="68D70518" w:rsidR="006217CA" w:rsidRDefault="006217CA" w:rsidP="006217CA">
      <w:pPr>
        <w:pStyle w:val="HChG"/>
        <w:ind w:left="1124" w:right="1138" w:firstLine="0"/>
      </w:pPr>
      <w:r>
        <w:rPr>
          <w:lang w:eastAsia="en-GB"/>
        </w:rPr>
        <w:t xml:space="preserve">Proposal for </w:t>
      </w:r>
      <w:r w:rsidR="00A23DC3" w:rsidRPr="00F56399">
        <w:t xml:space="preserve">Supplement 2 to the original version of UN Regulation No. 167 </w:t>
      </w:r>
      <w:r>
        <w:rPr>
          <w:lang w:eastAsia="en-GB"/>
        </w:rPr>
        <w:t>(Vulnerable Road Users Direct Vision)</w:t>
      </w:r>
      <w:r>
        <w:t xml:space="preserve"> </w:t>
      </w:r>
    </w:p>
    <w:p w14:paraId="5AFC0A3C" w14:textId="23F598A0" w:rsidR="006217CA" w:rsidRDefault="006217CA" w:rsidP="006217CA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General Safety Provisions</w:t>
      </w:r>
      <w:r>
        <w:footnoteReference w:customMarkFollows="1" w:id="2"/>
        <w:t>*</w:t>
      </w:r>
    </w:p>
    <w:p w14:paraId="12217691" w14:textId="5496B794" w:rsidR="006217CA" w:rsidRDefault="00464807" w:rsidP="00464807">
      <w:pPr>
        <w:pStyle w:val="SingleTxtG"/>
        <w:ind w:left="1134"/>
        <w:rPr>
          <w:sz w:val="24"/>
          <w:szCs w:val="24"/>
          <w:lang w:eastAsia="zh-CN"/>
        </w:rPr>
      </w:pPr>
      <w:r>
        <w:rPr>
          <w:lang w:val="en-US"/>
        </w:rPr>
        <w:tab/>
      </w:r>
      <w:r w:rsidR="006217CA">
        <w:rPr>
          <w:lang w:val="en-US"/>
        </w:rPr>
        <w:tab/>
        <w:t>The text reproduced below was adopted by the Working Party on General Safety Provisions (GRSG) at its 127</w:t>
      </w:r>
      <w:r w:rsidR="006217CA">
        <w:rPr>
          <w:vertAlign w:val="superscript"/>
          <w:lang w:val="en-US"/>
        </w:rPr>
        <w:t>th</w:t>
      </w:r>
      <w:r w:rsidR="006217CA">
        <w:rPr>
          <w:lang w:val="en-US"/>
        </w:rPr>
        <w:t xml:space="preserve"> session (ECE/TRANS/WP.29/GRSG/106, para. 18).</w:t>
      </w:r>
      <w:r w:rsidR="006217CA">
        <w:rPr>
          <w:lang w:val="en-US" w:eastAsia="en-GB"/>
        </w:rPr>
        <w:t xml:space="preserve"> </w:t>
      </w:r>
      <w:r w:rsidR="006217CA">
        <w:rPr>
          <w:lang w:eastAsia="en-GB"/>
        </w:rPr>
        <w:t>It is based on ECE/TRANS/WP.29/GRSG/2024/26 not amended</w:t>
      </w:r>
      <w:r w:rsidR="006217CA">
        <w:rPr>
          <w:lang w:val="en-US"/>
        </w:rPr>
        <w:t xml:space="preserve">. It is submitted to the World Forum for Harmonization of Vehicle Regulations (WP.29) and to the Administrative Committee (AC.1) for consideration at their </w:t>
      </w:r>
      <w:r w:rsidR="006922E4">
        <w:rPr>
          <w:lang w:val="en-US"/>
        </w:rPr>
        <w:t>November</w:t>
      </w:r>
      <w:r w:rsidR="006217CA">
        <w:rPr>
          <w:lang w:val="en-US"/>
        </w:rPr>
        <w:t xml:space="preserve"> 2024 sessions. </w:t>
      </w:r>
      <w:r w:rsidR="006217CA">
        <w:rPr>
          <w:sz w:val="24"/>
          <w:szCs w:val="24"/>
          <w:lang w:val="en-US" w:eastAsia="zh-CN"/>
        </w:rPr>
        <w:t xml:space="preserve"> </w:t>
      </w:r>
    </w:p>
    <w:p w14:paraId="28CE5931" w14:textId="77777777" w:rsidR="006217CA" w:rsidRDefault="006217CA" w:rsidP="006217CA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4E26BD2B" w14:textId="77777777" w:rsidR="002431A3" w:rsidRPr="00B033A8" w:rsidRDefault="002431A3" w:rsidP="002431A3">
      <w:pPr>
        <w:pStyle w:val="Para"/>
        <w:rPr>
          <w:bCs/>
        </w:rPr>
      </w:pPr>
      <w:r w:rsidRPr="00B033A8">
        <w:rPr>
          <w:bCs/>
          <w:i/>
          <w:iCs/>
        </w:rPr>
        <w:lastRenderedPageBreak/>
        <w:t>Paragraphs 2.13. to 2.15.,</w:t>
      </w:r>
      <w:r w:rsidRPr="00B033A8">
        <w:rPr>
          <w:bCs/>
        </w:rPr>
        <w:t xml:space="preserve"> amend to read:</w:t>
      </w:r>
    </w:p>
    <w:p w14:paraId="3F34010C" w14:textId="43D3F832" w:rsidR="002431A3" w:rsidRPr="004A5CA4" w:rsidRDefault="002431A3" w:rsidP="002431A3">
      <w:pPr>
        <w:pStyle w:val="Para"/>
        <w:rPr>
          <w:bCs/>
        </w:rPr>
      </w:pPr>
      <w:r w:rsidRPr="00B033A8">
        <w:rPr>
          <w:bCs/>
        </w:rPr>
        <w:t>"2.13.</w:t>
      </w:r>
      <w:r w:rsidRPr="00B033A8">
        <w:rPr>
          <w:bCs/>
        </w:rPr>
        <w:tab/>
      </w:r>
      <w:r w:rsidRPr="004A5CA4">
        <w:rPr>
          <w:bCs/>
          <w:i/>
          <w:iCs/>
        </w:rPr>
        <w:t>"Three-dimensional reference system"</w:t>
      </w:r>
      <w:r w:rsidRPr="004A5CA4">
        <w:rPr>
          <w:bCs/>
        </w:rPr>
        <w:t xml:space="preserve"> means a coordinate system as defined </w:t>
      </w:r>
      <w:r w:rsidRPr="004A5CA4">
        <w:rPr>
          <w:bCs/>
          <w:sz w:val="18"/>
          <w:szCs w:val="18"/>
        </w:rPr>
        <w:t>Addendum 6 of Mutual Resolution No. 1 (M.R.1)</w:t>
      </w:r>
      <w:r w:rsidRPr="004A5CA4">
        <w:rPr>
          <w:bCs/>
          <w:sz w:val="18"/>
          <w:szCs w:val="18"/>
          <w:vertAlign w:val="superscript"/>
        </w:rPr>
        <w:t>1</w:t>
      </w:r>
      <w:r w:rsidRPr="004A5CA4">
        <w:rPr>
          <w:bCs/>
        </w:rPr>
        <w:t>. In this framework the longitudinal axis of the vehicle is designated the X axis, the lateral axis is the Y axis and the vertical axis is the Z axis.</w:t>
      </w:r>
    </w:p>
    <w:p w14:paraId="49190ED0" w14:textId="35E576D3" w:rsidR="002431A3" w:rsidRPr="004A5CA4" w:rsidRDefault="002431A3" w:rsidP="002431A3">
      <w:pPr>
        <w:pStyle w:val="Para"/>
        <w:rPr>
          <w:bCs/>
        </w:rPr>
      </w:pPr>
      <w:r w:rsidRPr="004A5CA4">
        <w:rPr>
          <w:bCs/>
        </w:rPr>
        <w:t>2.14.</w:t>
      </w:r>
      <w:r w:rsidRPr="004A5CA4">
        <w:rPr>
          <w:bCs/>
        </w:rPr>
        <w:tab/>
      </w:r>
      <w:r w:rsidRPr="004A5CA4">
        <w:rPr>
          <w:bCs/>
          <w:i/>
          <w:iCs/>
        </w:rPr>
        <w:t>"H-point Manikin"</w:t>
      </w:r>
      <w:r w:rsidRPr="004A5CA4">
        <w:rPr>
          <w:bCs/>
        </w:rPr>
        <w:t xml:space="preserve"> means a three-dimensional H-Point Machine as defined in </w:t>
      </w:r>
      <w:r w:rsidRPr="004A5CA4">
        <w:rPr>
          <w:bCs/>
          <w:sz w:val="18"/>
          <w:szCs w:val="18"/>
        </w:rPr>
        <w:t>Addendum 6 of Mutual Resolution No. 1 (M.R.1)</w:t>
      </w:r>
      <w:r w:rsidRPr="004A5CA4">
        <w:rPr>
          <w:bCs/>
          <w:sz w:val="18"/>
          <w:szCs w:val="18"/>
          <w:vertAlign w:val="superscript"/>
        </w:rPr>
        <w:t>1</w:t>
      </w:r>
      <w:r w:rsidRPr="004A5CA4">
        <w:rPr>
          <w:bCs/>
          <w:sz w:val="18"/>
          <w:szCs w:val="18"/>
        </w:rPr>
        <w:t>.</w:t>
      </w:r>
    </w:p>
    <w:p w14:paraId="615A1927" w14:textId="3F0C3C44" w:rsidR="002431A3" w:rsidRPr="004A5CA4" w:rsidRDefault="002431A3" w:rsidP="002431A3">
      <w:pPr>
        <w:pStyle w:val="Para"/>
        <w:spacing w:after="0"/>
        <w:jc w:val="left"/>
        <w:rPr>
          <w:bCs/>
        </w:rPr>
      </w:pPr>
      <w:r w:rsidRPr="004A5CA4">
        <w:rPr>
          <w:bCs/>
        </w:rPr>
        <w:t>2.15.</w:t>
      </w:r>
      <w:r w:rsidRPr="004A5CA4">
        <w:rPr>
          <w:bCs/>
        </w:rPr>
        <w:tab/>
      </w:r>
      <w:r w:rsidRPr="004A5CA4">
        <w:rPr>
          <w:bCs/>
          <w:i/>
          <w:iCs/>
        </w:rPr>
        <w:t>"R-Point"</w:t>
      </w:r>
      <w:r w:rsidRPr="004A5CA4">
        <w:rPr>
          <w:bCs/>
        </w:rPr>
        <w:t xml:space="preserve"> means the seating reference point as defined in </w:t>
      </w:r>
      <w:r w:rsidRPr="004A5CA4">
        <w:rPr>
          <w:bCs/>
          <w:sz w:val="18"/>
          <w:szCs w:val="18"/>
        </w:rPr>
        <w:t>Addendum 6 of Mutual Resolution No. 1 (M.R.1)</w:t>
      </w:r>
      <w:r w:rsidRPr="004A5CA4">
        <w:rPr>
          <w:bCs/>
        </w:rPr>
        <w:t>.</w:t>
      </w:r>
      <w:r w:rsidRPr="004A5CA4">
        <w:rPr>
          <w:rStyle w:val="FootnoteReference"/>
          <w:bCs/>
        </w:rPr>
        <w:footnoteReference w:id="3"/>
      </w:r>
    </w:p>
    <w:p w14:paraId="5883D3F8" w14:textId="77777777" w:rsidR="002431A3" w:rsidRPr="004A5CA4" w:rsidRDefault="002431A3" w:rsidP="002431A3">
      <w:pPr>
        <w:pStyle w:val="Para"/>
        <w:spacing w:before="120" w:after="0"/>
        <w:ind w:left="2276" w:right="1138" w:hanging="1138"/>
        <w:jc w:val="left"/>
        <w:rPr>
          <w:bCs/>
        </w:rPr>
      </w:pPr>
      <w:r w:rsidRPr="004A5CA4">
        <w:rPr>
          <w:bCs/>
          <w:i/>
          <w:iCs/>
        </w:rPr>
        <w:t>Paragraph 4.5.1.(a), footnote 1</w:t>
      </w:r>
      <w:r w:rsidRPr="004A5CA4">
        <w:rPr>
          <w:bCs/>
        </w:rPr>
        <w:t>, amend to read:</w:t>
      </w:r>
    </w:p>
    <w:p w14:paraId="5467B306" w14:textId="2C1CB613" w:rsidR="002431A3" w:rsidRPr="00B033A8" w:rsidRDefault="002431A3" w:rsidP="002431A3">
      <w:pPr>
        <w:pStyle w:val="Para"/>
        <w:spacing w:before="120"/>
        <w:ind w:left="1426" w:right="1089" w:hanging="288"/>
        <w:rPr>
          <w:b/>
          <w:sz w:val="18"/>
          <w:szCs w:val="18"/>
        </w:rPr>
      </w:pPr>
      <w:r w:rsidRPr="00B033A8">
        <w:rPr>
          <w:bCs/>
          <w:sz w:val="18"/>
          <w:szCs w:val="18"/>
          <w:vertAlign w:val="superscript"/>
        </w:rPr>
        <w:t>"1</w:t>
      </w:r>
      <w:r w:rsidRPr="00B033A8">
        <w:rPr>
          <w:bCs/>
          <w:sz w:val="18"/>
          <w:szCs w:val="18"/>
        </w:rPr>
        <w:tab/>
        <w:t>The distinguishing numbers of the Contracting Parties to the 1958 Agreement are reproduced in Annex 3 to the Consolidated Resolution on the Construction of Vehicles (R.E.3), document ECE/TRANS/WP.29/78/Rev.</w:t>
      </w:r>
      <w:r w:rsidRPr="004A5CA4">
        <w:rPr>
          <w:bCs/>
          <w:sz w:val="18"/>
          <w:szCs w:val="18"/>
        </w:rPr>
        <w:t>7</w:t>
      </w:r>
      <w:r w:rsidRPr="00B033A8">
        <w:rPr>
          <w:bCs/>
          <w:sz w:val="18"/>
          <w:szCs w:val="18"/>
        </w:rPr>
        <w:t xml:space="preserve"> - </w:t>
      </w:r>
      <w:bookmarkStart w:id="0" w:name="_Hlk156421770"/>
      <w:r>
        <w:fldChar w:fldCharType="begin"/>
      </w:r>
      <w:r>
        <w:instrText>HYPERLINK "https://unece.org/transport/vehicle-regulations/wp29/resolutions"</w:instrText>
      </w:r>
      <w:r>
        <w:fldChar w:fldCharType="separate"/>
      </w:r>
      <w:r w:rsidRPr="00B033A8">
        <w:rPr>
          <w:rStyle w:val="Hyperlink"/>
          <w:b/>
          <w:sz w:val="18"/>
          <w:szCs w:val="18"/>
        </w:rPr>
        <w:t>https://unece.org/transport/vehicle-regulations/wp29/resolutions</w:t>
      </w:r>
      <w:r>
        <w:rPr>
          <w:rStyle w:val="Hyperlink"/>
          <w:b/>
          <w:sz w:val="18"/>
          <w:szCs w:val="18"/>
        </w:rPr>
        <w:fldChar w:fldCharType="end"/>
      </w:r>
      <w:r w:rsidRPr="00B033A8">
        <w:rPr>
          <w:rStyle w:val="Hyperlink"/>
          <w:bCs/>
          <w:color w:val="auto"/>
          <w:sz w:val="18"/>
          <w:szCs w:val="18"/>
        </w:rPr>
        <w:t>"</w:t>
      </w:r>
    </w:p>
    <w:bookmarkEnd w:id="0"/>
    <w:p w14:paraId="16A70F40" w14:textId="3878997E" w:rsidR="009C40D1" w:rsidRPr="00EB36B7" w:rsidRDefault="00EB36B7" w:rsidP="00EB36B7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C40D1" w:rsidRPr="00EB36B7" w:rsidSect="006217C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CA87" w14:textId="77777777" w:rsidR="00BE478F" w:rsidRDefault="00BE478F"/>
  </w:endnote>
  <w:endnote w:type="continuationSeparator" w:id="0">
    <w:p w14:paraId="4DF9B40E" w14:textId="77777777" w:rsidR="00BE478F" w:rsidRDefault="00BE478F"/>
  </w:endnote>
  <w:endnote w:type="continuationNotice" w:id="1">
    <w:p w14:paraId="05406200" w14:textId="77777777" w:rsidR="00BE478F" w:rsidRDefault="00BE4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E776" w14:textId="37855D40" w:rsidR="006217CA" w:rsidRPr="006217CA" w:rsidRDefault="006217CA" w:rsidP="006217CA">
    <w:pPr>
      <w:pStyle w:val="Footer"/>
      <w:tabs>
        <w:tab w:val="right" w:pos="9638"/>
      </w:tabs>
      <w:rPr>
        <w:sz w:val="18"/>
      </w:rPr>
    </w:pPr>
    <w:r w:rsidRPr="006217CA">
      <w:rPr>
        <w:b/>
        <w:sz w:val="18"/>
      </w:rPr>
      <w:fldChar w:fldCharType="begin"/>
    </w:r>
    <w:r w:rsidRPr="006217CA">
      <w:rPr>
        <w:b/>
        <w:sz w:val="18"/>
      </w:rPr>
      <w:instrText xml:space="preserve"> PAGE  \* MERGEFORMAT </w:instrText>
    </w:r>
    <w:r w:rsidRPr="006217CA">
      <w:rPr>
        <w:b/>
        <w:sz w:val="18"/>
      </w:rPr>
      <w:fldChar w:fldCharType="separate"/>
    </w:r>
    <w:r w:rsidRPr="006217CA">
      <w:rPr>
        <w:b/>
        <w:noProof/>
        <w:sz w:val="18"/>
      </w:rPr>
      <w:t>2</w:t>
    </w:r>
    <w:r w:rsidRPr="006217CA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0CA4" w14:textId="0932157A" w:rsidR="006217CA" w:rsidRPr="006217CA" w:rsidRDefault="006217CA" w:rsidP="006217CA">
    <w:pPr>
      <w:pStyle w:val="Footer"/>
      <w:tabs>
        <w:tab w:val="right" w:pos="9638"/>
      </w:tabs>
      <w:rPr>
        <w:b/>
        <w:sz w:val="18"/>
      </w:rPr>
    </w:pPr>
    <w:r>
      <w:tab/>
    </w:r>
    <w:r w:rsidRPr="006217CA">
      <w:rPr>
        <w:b/>
        <w:sz w:val="18"/>
      </w:rPr>
      <w:fldChar w:fldCharType="begin"/>
    </w:r>
    <w:r w:rsidRPr="006217CA">
      <w:rPr>
        <w:b/>
        <w:sz w:val="18"/>
      </w:rPr>
      <w:instrText xml:space="preserve"> PAGE  \* MERGEFORMAT </w:instrText>
    </w:r>
    <w:r w:rsidRPr="006217CA">
      <w:rPr>
        <w:b/>
        <w:sz w:val="18"/>
      </w:rPr>
      <w:fldChar w:fldCharType="separate"/>
    </w:r>
    <w:r w:rsidRPr="006217CA">
      <w:rPr>
        <w:b/>
        <w:noProof/>
        <w:sz w:val="18"/>
      </w:rPr>
      <w:t>3</w:t>
    </w:r>
    <w:r w:rsidRPr="006217C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A405" w14:textId="6371AF24" w:rsidR="00691AC5" w:rsidRDefault="00691AC5" w:rsidP="00691AC5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1B58F596" wp14:editId="3ED2387C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F0DB4" w14:textId="64287F75" w:rsidR="00691AC5" w:rsidRPr="00691AC5" w:rsidRDefault="00691AC5" w:rsidP="00691AC5">
    <w:pPr>
      <w:pStyle w:val="Footer"/>
      <w:ind w:right="1134"/>
      <w:rPr>
        <w:sz w:val="20"/>
      </w:rPr>
    </w:pPr>
    <w:r>
      <w:rPr>
        <w:sz w:val="20"/>
      </w:rPr>
      <w:t>GE.24-17873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0CA6616" wp14:editId="4E29BA27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9756994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1BA9" w14:textId="77777777" w:rsidR="00BE478F" w:rsidRPr="000B175B" w:rsidRDefault="00BE478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3FE0DD1" w14:textId="77777777" w:rsidR="00BE478F" w:rsidRPr="00FC68B7" w:rsidRDefault="00BE478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E0DA059" w14:textId="77777777" w:rsidR="00BE478F" w:rsidRDefault="00BE478F"/>
  </w:footnote>
  <w:footnote w:id="2">
    <w:p w14:paraId="7F3F7208" w14:textId="31A9F1CE" w:rsidR="00C54BB8" w:rsidRDefault="00E36B71" w:rsidP="00A433D4">
      <w:pPr>
        <w:pStyle w:val="FootnoteText"/>
        <w:jc w:val="both"/>
      </w:pPr>
      <w:r w:rsidRPr="00E36B71">
        <w:tab/>
      </w:r>
    </w:p>
    <w:p w14:paraId="0F406F57" w14:textId="5FAE2A53" w:rsidR="006217CA" w:rsidRDefault="006217CA" w:rsidP="006217CA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2024 as outlined in proposed programme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  <w:footnote w:id="3">
    <w:p w14:paraId="294BD688" w14:textId="252F10BC" w:rsidR="002431A3" w:rsidRPr="004B7DAC" w:rsidRDefault="002431A3" w:rsidP="006937E4">
      <w:pPr>
        <w:pStyle w:val="EndnoteText"/>
        <w:rPr>
          <w:lang w:val="en-US"/>
        </w:rPr>
      </w:pPr>
      <w:r>
        <w:tab/>
      </w:r>
      <w:r>
        <w:rPr>
          <w:rStyle w:val="FootnoteReference"/>
        </w:rPr>
        <w:footnoteRef/>
      </w:r>
      <w:r w:rsidR="006937E4">
        <w:tab/>
      </w:r>
      <w:r w:rsidRPr="00F835FF">
        <w:t xml:space="preserve">Addendum 6 of Mutual Resolution No. 1 (M.R.1) (document ECE/TRANS/WP.29/1101/Amend.5); </w:t>
      </w:r>
      <w:r w:rsidRPr="00F835FF">
        <w:tab/>
        <w:t xml:space="preserve">see </w:t>
      </w:r>
      <w:hyperlink r:id="rId1" w:history="1">
        <w:r w:rsidRPr="00F835FF">
          <w:rPr>
            <w:rStyle w:val="Hyperlink"/>
            <w:bCs/>
            <w:szCs w:val="18"/>
          </w:rPr>
          <w:t>https://unece.org/transport/vehicle-regulations/wp29/resolutions</w:t>
        </w:r>
      </w:hyperlink>
      <w:r>
        <w:rPr>
          <w:rStyle w:val="Hyperlink"/>
          <w:bCs/>
          <w:color w:val="auto"/>
          <w:szCs w:val="18"/>
        </w:rPr>
        <w:t>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CA9F" w14:textId="5D86A007" w:rsidR="006217CA" w:rsidRPr="006217CA" w:rsidRDefault="00905121">
    <w:pPr>
      <w:pStyle w:val="Header"/>
    </w:pPr>
    <w:r>
      <w:t>ECE/TRANS/WP.29/2024/16</w:t>
    </w:r>
    <w:r w:rsidR="00F757C0">
      <w:t>9</w:t>
    </w:r>
  </w:p>
  <w:p w14:paraId="266ADAEA" w14:textId="77777777" w:rsidR="00F17CA3" w:rsidRDefault="00F17C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8EB6" w14:textId="65FEADC0" w:rsidR="006217CA" w:rsidRPr="006217CA" w:rsidRDefault="00B24B0B" w:rsidP="006217CA">
    <w:pPr>
      <w:pStyle w:val="Header"/>
      <w:jc w:val="right"/>
    </w:pPr>
    <w:fldSimple w:instr=" TITLE  \* MERGEFORMAT ">
      <w:r>
        <w:t>ECE/TRANS/WP.29/2024/169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75614"/>
    <w:multiLevelType w:val="hybridMultilevel"/>
    <w:tmpl w:val="C2A6E052"/>
    <w:lvl w:ilvl="0" w:tplc="E07441B8">
      <w:numFmt w:val="bullet"/>
      <w:lvlText w:val=""/>
      <w:lvlJc w:val="left"/>
      <w:pPr>
        <w:ind w:left="12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93163D"/>
    <w:multiLevelType w:val="hybridMultilevel"/>
    <w:tmpl w:val="C90A0426"/>
    <w:lvl w:ilvl="0" w:tplc="EEFAA336">
      <w:start w:val="1"/>
      <w:numFmt w:val="lowerLetter"/>
      <w:lvlText w:val="(%1)"/>
      <w:lvlJc w:val="left"/>
      <w:pPr>
        <w:ind w:left="2988" w:hanging="360"/>
      </w:pPr>
    </w:lvl>
    <w:lvl w:ilvl="1" w:tplc="08090019">
      <w:start w:val="1"/>
      <w:numFmt w:val="lowerLetter"/>
      <w:lvlText w:val="%2."/>
      <w:lvlJc w:val="left"/>
      <w:pPr>
        <w:ind w:left="3708" w:hanging="360"/>
      </w:pPr>
    </w:lvl>
    <w:lvl w:ilvl="2" w:tplc="0809001B">
      <w:start w:val="1"/>
      <w:numFmt w:val="lowerRoman"/>
      <w:lvlText w:val="%3."/>
      <w:lvlJc w:val="right"/>
      <w:pPr>
        <w:ind w:left="4428" w:hanging="180"/>
      </w:pPr>
    </w:lvl>
    <w:lvl w:ilvl="3" w:tplc="0809000F">
      <w:start w:val="1"/>
      <w:numFmt w:val="decimal"/>
      <w:lvlText w:val="%4."/>
      <w:lvlJc w:val="left"/>
      <w:pPr>
        <w:ind w:left="5148" w:hanging="360"/>
      </w:pPr>
    </w:lvl>
    <w:lvl w:ilvl="4" w:tplc="08090019">
      <w:start w:val="1"/>
      <w:numFmt w:val="lowerLetter"/>
      <w:lvlText w:val="%5."/>
      <w:lvlJc w:val="left"/>
      <w:pPr>
        <w:ind w:left="5868" w:hanging="360"/>
      </w:pPr>
    </w:lvl>
    <w:lvl w:ilvl="5" w:tplc="0809001B">
      <w:start w:val="1"/>
      <w:numFmt w:val="lowerRoman"/>
      <w:lvlText w:val="%6."/>
      <w:lvlJc w:val="right"/>
      <w:pPr>
        <w:ind w:left="6588" w:hanging="180"/>
      </w:pPr>
    </w:lvl>
    <w:lvl w:ilvl="6" w:tplc="0809000F">
      <w:start w:val="1"/>
      <w:numFmt w:val="decimal"/>
      <w:lvlText w:val="%7."/>
      <w:lvlJc w:val="left"/>
      <w:pPr>
        <w:ind w:left="7308" w:hanging="360"/>
      </w:pPr>
    </w:lvl>
    <w:lvl w:ilvl="7" w:tplc="08090019">
      <w:start w:val="1"/>
      <w:numFmt w:val="lowerLetter"/>
      <w:lvlText w:val="%8."/>
      <w:lvlJc w:val="left"/>
      <w:pPr>
        <w:ind w:left="8028" w:hanging="360"/>
      </w:pPr>
    </w:lvl>
    <w:lvl w:ilvl="8" w:tplc="0809001B">
      <w:start w:val="1"/>
      <w:numFmt w:val="lowerRoman"/>
      <w:lvlText w:val="%9."/>
      <w:lvlJc w:val="right"/>
      <w:pPr>
        <w:ind w:left="8748" w:hanging="18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499087">
    <w:abstractNumId w:val="1"/>
  </w:num>
  <w:num w:numId="2" w16cid:durableId="858129281">
    <w:abstractNumId w:val="0"/>
  </w:num>
  <w:num w:numId="3" w16cid:durableId="517739843">
    <w:abstractNumId w:val="2"/>
  </w:num>
  <w:num w:numId="4" w16cid:durableId="961426480">
    <w:abstractNumId w:val="3"/>
  </w:num>
  <w:num w:numId="5" w16cid:durableId="1692412763">
    <w:abstractNumId w:val="8"/>
  </w:num>
  <w:num w:numId="6" w16cid:durableId="828717908">
    <w:abstractNumId w:val="9"/>
  </w:num>
  <w:num w:numId="7" w16cid:durableId="2027905604">
    <w:abstractNumId w:val="7"/>
  </w:num>
  <w:num w:numId="8" w16cid:durableId="365568750">
    <w:abstractNumId w:val="6"/>
  </w:num>
  <w:num w:numId="9" w16cid:durableId="1451629621">
    <w:abstractNumId w:val="5"/>
  </w:num>
  <w:num w:numId="10" w16cid:durableId="962685663">
    <w:abstractNumId w:val="4"/>
  </w:num>
  <w:num w:numId="11" w16cid:durableId="1624775192">
    <w:abstractNumId w:val="16"/>
  </w:num>
  <w:num w:numId="12" w16cid:durableId="1249920027">
    <w:abstractNumId w:val="14"/>
  </w:num>
  <w:num w:numId="13" w16cid:durableId="1106388832">
    <w:abstractNumId w:val="10"/>
  </w:num>
  <w:num w:numId="14" w16cid:durableId="558521376">
    <w:abstractNumId w:val="12"/>
  </w:num>
  <w:num w:numId="15" w16cid:durableId="1157302382">
    <w:abstractNumId w:val="17"/>
  </w:num>
  <w:num w:numId="16" w16cid:durableId="1676228258">
    <w:abstractNumId w:val="13"/>
  </w:num>
  <w:num w:numId="17" w16cid:durableId="12651987">
    <w:abstractNumId w:val="19"/>
  </w:num>
  <w:num w:numId="18" w16cid:durableId="611401100">
    <w:abstractNumId w:val="20"/>
  </w:num>
  <w:num w:numId="19" w16cid:durableId="598680761">
    <w:abstractNumId w:val="11"/>
  </w:num>
  <w:num w:numId="20" w16cid:durableId="1917089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016706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CA"/>
    <w:rsid w:val="00002A7D"/>
    <w:rsid w:val="000038A8"/>
    <w:rsid w:val="00005DF3"/>
    <w:rsid w:val="00006790"/>
    <w:rsid w:val="00014B32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A7BDB"/>
    <w:rsid w:val="000B175B"/>
    <w:rsid w:val="000B3A0F"/>
    <w:rsid w:val="000E0415"/>
    <w:rsid w:val="000F7715"/>
    <w:rsid w:val="00134F85"/>
    <w:rsid w:val="00156B99"/>
    <w:rsid w:val="00165401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D6485"/>
    <w:rsid w:val="001F0DB6"/>
    <w:rsid w:val="001F1599"/>
    <w:rsid w:val="001F19C4"/>
    <w:rsid w:val="002043F0"/>
    <w:rsid w:val="00211E0B"/>
    <w:rsid w:val="00232575"/>
    <w:rsid w:val="002431A3"/>
    <w:rsid w:val="00247258"/>
    <w:rsid w:val="00257CAC"/>
    <w:rsid w:val="0027237A"/>
    <w:rsid w:val="002974E9"/>
    <w:rsid w:val="002A306B"/>
    <w:rsid w:val="002A7F94"/>
    <w:rsid w:val="002B109A"/>
    <w:rsid w:val="002B6736"/>
    <w:rsid w:val="002B6BA7"/>
    <w:rsid w:val="002C6D45"/>
    <w:rsid w:val="002D6E53"/>
    <w:rsid w:val="002F046D"/>
    <w:rsid w:val="002F3023"/>
    <w:rsid w:val="00301764"/>
    <w:rsid w:val="00313005"/>
    <w:rsid w:val="003229D8"/>
    <w:rsid w:val="00336C97"/>
    <w:rsid w:val="00337F88"/>
    <w:rsid w:val="00342432"/>
    <w:rsid w:val="0035223F"/>
    <w:rsid w:val="00352D4B"/>
    <w:rsid w:val="0035638C"/>
    <w:rsid w:val="0036020A"/>
    <w:rsid w:val="003A46BB"/>
    <w:rsid w:val="003A4EC7"/>
    <w:rsid w:val="003A7295"/>
    <w:rsid w:val="003B1F60"/>
    <w:rsid w:val="003B5E38"/>
    <w:rsid w:val="003C2CC4"/>
    <w:rsid w:val="003D4B23"/>
    <w:rsid w:val="003E278A"/>
    <w:rsid w:val="003E6E41"/>
    <w:rsid w:val="00413520"/>
    <w:rsid w:val="0042190C"/>
    <w:rsid w:val="004325CB"/>
    <w:rsid w:val="00440A07"/>
    <w:rsid w:val="00462880"/>
    <w:rsid w:val="00464807"/>
    <w:rsid w:val="00476F24"/>
    <w:rsid w:val="004A5CA4"/>
    <w:rsid w:val="004A5D33"/>
    <w:rsid w:val="004C55B0"/>
    <w:rsid w:val="004F221B"/>
    <w:rsid w:val="004F6BA0"/>
    <w:rsid w:val="00503BEA"/>
    <w:rsid w:val="00533616"/>
    <w:rsid w:val="00535ABA"/>
    <w:rsid w:val="0053768B"/>
    <w:rsid w:val="005420F2"/>
    <w:rsid w:val="0054285C"/>
    <w:rsid w:val="00561850"/>
    <w:rsid w:val="00584173"/>
    <w:rsid w:val="00595520"/>
    <w:rsid w:val="005A44B9"/>
    <w:rsid w:val="005B1BA0"/>
    <w:rsid w:val="005B3DB3"/>
    <w:rsid w:val="005C0268"/>
    <w:rsid w:val="005D15CA"/>
    <w:rsid w:val="005F08DF"/>
    <w:rsid w:val="005F3066"/>
    <w:rsid w:val="005F3224"/>
    <w:rsid w:val="005F3E61"/>
    <w:rsid w:val="005F4D87"/>
    <w:rsid w:val="005F5E0D"/>
    <w:rsid w:val="00604DDD"/>
    <w:rsid w:val="006107D6"/>
    <w:rsid w:val="006115CC"/>
    <w:rsid w:val="00611FC4"/>
    <w:rsid w:val="006176FB"/>
    <w:rsid w:val="006217CA"/>
    <w:rsid w:val="00630FCB"/>
    <w:rsid w:val="00640B26"/>
    <w:rsid w:val="0065766B"/>
    <w:rsid w:val="006770B2"/>
    <w:rsid w:val="00686A48"/>
    <w:rsid w:val="0068763C"/>
    <w:rsid w:val="00691AC5"/>
    <w:rsid w:val="006922E4"/>
    <w:rsid w:val="006937E4"/>
    <w:rsid w:val="006940E1"/>
    <w:rsid w:val="006973D9"/>
    <w:rsid w:val="006A3C72"/>
    <w:rsid w:val="006A7392"/>
    <w:rsid w:val="006B03A1"/>
    <w:rsid w:val="006B67D9"/>
    <w:rsid w:val="006C5535"/>
    <w:rsid w:val="006C5918"/>
    <w:rsid w:val="006D0589"/>
    <w:rsid w:val="006E1228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7276E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E12D5"/>
    <w:rsid w:val="007F5CE2"/>
    <w:rsid w:val="007F6611"/>
    <w:rsid w:val="00802FBD"/>
    <w:rsid w:val="00810BAC"/>
    <w:rsid w:val="00814C29"/>
    <w:rsid w:val="008175E9"/>
    <w:rsid w:val="008242D7"/>
    <w:rsid w:val="0082577B"/>
    <w:rsid w:val="00825CB5"/>
    <w:rsid w:val="00866513"/>
    <w:rsid w:val="00866893"/>
    <w:rsid w:val="00866F02"/>
    <w:rsid w:val="00867D18"/>
    <w:rsid w:val="00871F9A"/>
    <w:rsid w:val="00871FD5"/>
    <w:rsid w:val="00877067"/>
    <w:rsid w:val="0088172E"/>
    <w:rsid w:val="00881EFA"/>
    <w:rsid w:val="00882347"/>
    <w:rsid w:val="00884042"/>
    <w:rsid w:val="008879CB"/>
    <w:rsid w:val="008979B1"/>
    <w:rsid w:val="008A6B25"/>
    <w:rsid w:val="008A6C4F"/>
    <w:rsid w:val="008B389E"/>
    <w:rsid w:val="008D045E"/>
    <w:rsid w:val="008D3F25"/>
    <w:rsid w:val="008D4D82"/>
    <w:rsid w:val="008E0A4F"/>
    <w:rsid w:val="008E0E46"/>
    <w:rsid w:val="008E7116"/>
    <w:rsid w:val="008F143B"/>
    <w:rsid w:val="008F3882"/>
    <w:rsid w:val="008F4B7C"/>
    <w:rsid w:val="008F502D"/>
    <w:rsid w:val="00905121"/>
    <w:rsid w:val="0092556A"/>
    <w:rsid w:val="00925F2C"/>
    <w:rsid w:val="00926E47"/>
    <w:rsid w:val="00931696"/>
    <w:rsid w:val="00947162"/>
    <w:rsid w:val="009610D0"/>
    <w:rsid w:val="0096375C"/>
    <w:rsid w:val="009662E6"/>
    <w:rsid w:val="0097091F"/>
    <w:rsid w:val="0097095E"/>
    <w:rsid w:val="00984585"/>
    <w:rsid w:val="0098592B"/>
    <w:rsid w:val="00985FC4"/>
    <w:rsid w:val="00990766"/>
    <w:rsid w:val="00991261"/>
    <w:rsid w:val="009964C4"/>
    <w:rsid w:val="009A718E"/>
    <w:rsid w:val="009A7B81"/>
    <w:rsid w:val="009B011B"/>
    <w:rsid w:val="009B7EB7"/>
    <w:rsid w:val="009C40D1"/>
    <w:rsid w:val="009D01C0"/>
    <w:rsid w:val="009D6A08"/>
    <w:rsid w:val="009E0A16"/>
    <w:rsid w:val="009E6CB7"/>
    <w:rsid w:val="009E7970"/>
    <w:rsid w:val="009F2EAC"/>
    <w:rsid w:val="009F57E3"/>
    <w:rsid w:val="00A04B9D"/>
    <w:rsid w:val="00A077A2"/>
    <w:rsid w:val="00A10F4F"/>
    <w:rsid w:val="00A11067"/>
    <w:rsid w:val="00A1704A"/>
    <w:rsid w:val="00A23DC3"/>
    <w:rsid w:val="00A36AC2"/>
    <w:rsid w:val="00A425EB"/>
    <w:rsid w:val="00A433D4"/>
    <w:rsid w:val="00A47754"/>
    <w:rsid w:val="00A72F22"/>
    <w:rsid w:val="00A733BC"/>
    <w:rsid w:val="00A748A6"/>
    <w:rsid w:val="00A76A69"/>
    <w:rsid w:val="00A879A4"/>
    <w:rsid w:val="00AA0FF8"/>
    <w:rsid w:val="00AC0F2C"/>
    <w:rsid w:val="00AC502A"/>
    <w:rsid w:val="00AC732C"/>
    <w:rsid w:val="00AE1E26"/>
    <w:rsid w:val="00AF58C1"/>
    <w:rsid w:val="00B0265B"/>
    <w:rsid w:val="00B043C6"/>
    <w:rsid w:val="00B04A3F"/>
    <w:rsid w:val="00B06643"/>
    <w:rsid w:val="00B12DA7"/>
    <w:rsid w:val="00B15055"/>
    <w:rsid w:val="00B20551"/>
    <w:rsid w:val="00B24B0B"/>
    <w:rsid w:val="00B30179"/>
    <w:rsid w:val="00B31E0B"/>
    <w:rsid w:val="00B33FC7"/>
    <w:rsid w:val="00B37B15"/>
    <w:rsid w:val="00B4162A"/>
    <w:rsid w:val="00B44DFF"/>
    <w:rsid w:val="00B45C02"/>
    <w:rsid w:val="00B70B4B"/>
    <w:rsid w:val="00B70B63"/>
    <w:rsid w:val="00B72A1E"/>
    <w:rsid w:val="00B81E12"/>
    <w:rsid w:val="00BA339B"/>
    <w:rsid w:val="00BB23CC"/>
    <w:rsid w:val="00BC1E7E"/>
    <w:rsid w:val="00BC74E9"/>
    <w:rsid w:val="00BD7C88"/>
    <w:rsid w:val="00BE36A9"/>
    <w:rsid w:val="00BE478F"/>
    <w:rsid w:val="00BE618E"/>
    <w:rsid w:val="00BE7BEC"/>
    <w:rsid w:val="00BF0A5A"/>
    <w:rsid w:val="00BF0E63"/>
    <w:rsid w:val="00BF12A3"/>
    <w:rsid w:val="00BF16D7"/>
    <w:rsid w:val="00BF2373"/>
    <w:rsid w:val="00BF279B"/>
    <w:rsid w:val="00C00DEB"/>
    <w:rsid w:val="00C0133C"/>
    <w:rsid w:val="00C044E2"/>
    <w:rsid w:val="00C048CB"/>
    <w:rsid w:val="00C066F3"/>
    <w:rsid w:val="00C463DD"/>
    <w:rsid w:val="00C54BB8"/>
    <w:rsid w:val="00C745C3"/>
    <w:rsid w:val="00C978F5"/>
    <w:rsid w:val="00CA1C9E"/>
    <w:rsid w:val="00CA24A4"/>
    <w:rsid w:val="00CB348D"/>
    <w:rsid w:val="00CD46F5"/>
    <w:rsid w:val="00CD53B1"/>
    <w:rsid w:val="00CE4A8F"/>
    <w:rsid w:val="00CF071D"/>
    <w:rsid w:val="00D0123D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75AD6"/>
    <w:rsid w:val="00D978C6"/>
    <w:rsid w:val="00DA0956"/>
    <w:rsid w:val="00DA357F"/>
    <w:rsid w:val="00DA3E12"/>
    <w:rsid w:val="00DC18AD"/>
    <w:rsid w:val="00DD327A"/>
    <w:rsid w:val="00DF649F"/>
    <w:rsid w:val="00DF7CAE"/>
    <w:rsid w:val="00E17C2F"/>
    <w:rsid w:val="00E36B71"/>
    <w:rsid w:val="00E423C0"/>
    <w:rsid w:val="00E6414C"/>
    <w:rsid w:val="00E7260F"/>
    <w:rsid w:val="00E8702D"/>
    <w:rsid w:val="00E905F4"/>
    <w:rsid w:val="00E916A9"/>
    <w:rsid w:val="00E916DE"/>
    <w:rsid w:val="00E925AD"/>
    <w:rsid w:val="00E92B61"/>
    <w:rsid w:val="00E96630"/>
    <w:rsid w:val="00EB36B7"/>
    <w:rsid w:val="00EB40C3"/>
    <w:rsid w:val="00EB64D7"/>
    <w:rsid w:val="00ED18DC"/>
    <w:rsid w:val="00ED6201"/>
    <w:rsid w:val="00ED7A2A"/>
    <w:rsid w:val="00EE5ED1"/>
    <w:rsid w:val="00EF1D7F"/>
    <w:rsid w:val="00EF6210"/>
    <w:rsid w:val="00F0137E"/>
    <w:rsid w:val="00F04E44"/>
    <w:rsid w:val="00F17CA3"/>
    <w:rsid w:val="00F21786"/>
    <w:rsid w:val="00F25D06"/>
    <w:rsid w:val="00F26AEA"/>
    <w:rsid w:val="00F31CFF"/>
    <w:rsid w:val="00F3742B"/>
    <w:rsid w:val="00F41FDB"/>
    <w:rsid w:val="00F50597"/>
    <w:rsid w:val="00F56D63"/>
    <w:rsid w:val="00F609A9"/>
    <w:rsid w:val="00F757C0"/>
    <w:rsid w:val="00F80C99"/>
    <w:rsid w:val="00F835FF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274B1"/>
  <w15:docId w15:val="{02A57015-1AC7-4E37-B95C-C624AC8E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9C40D1"/>
    <w:pPr>
      <w:spacing w:after="120"/>
      <w:ind w:left="2988" w:right="1134"/>
      <w:jc w:val="both"/>
    </w:pPr>
    <w:rPr>
      <w:color w:val="000000" w:themeColor="text1"/>
    </w:r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C40D1"/>
    <w:rPr>
      <w:color w:val="000000" w:themeColor="text1"/>
      <w:lang w:val="en-GB"/>
    </w:rPr>
  </w:style>
  <w:style w:type="character" w:customStyle="1" w:styleId="HChGChar">
    <w:name w:val="_ H _Ch_G Char"/>
    <w:link w:val="HChG"/>
    <w:qFormat/>
    <w:locked/>
    <w:rsid w:val="006217CA"/>
    <w:rPr>
      <w:b/>
      <w:sz w:val="28"/>
      <w:lang w:val="en-GB"/>
    </w:rPr>
  </w:style>
  <w:style w:type="character" w:customStyle="1" w:styleId="H1GChar">
    <w:name w:val="_ H_1_G Char"/>
    <w:link w:val="H1G"/>
    <w:locked/>
    <w:rsid w:val="006217CA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C00DEB"/>
    <w:pPr>
      <w:suppressAutoHyphens/>
      <w:ind w:left="720"/>
      <w:contextualSpacing/>
    </w:pPr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36B7"/>
    <w:pPr>
      <w:suppressAutoHyphens/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customStyle="1" w:styleId="Para">
    <w:name w:val="Para"/>
    <w:basedOn w:val="Normal"/>
    <w:qFormat/>
    <w:rsid w:val="00C0133C"/>
    <w:pPr>
      <w:spacing w:after="120"/>
      <w:ind w:left="2268" w:right="1134" w:hanging="1134"/>
      <w:jc w:val="both"/>
    </w:pPr>
    <w:rPr>
      <w:lang w:eastAsia="en-US"/>
    </w:rPr>
  </w:style>
  <w:style w:type="paragraph" w:styleId="Revision">
    <w:name w:val="Revision"/>
    <w:hidden/>
    <w:uiPriority w:val="99"/>
    <w:semiHidden/>
    <w:rsid w:val="00A433D4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transport/vehicle-regulations/wp29/resolu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29B26-DCB0-41A7-9386-1665D07FC849}"/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265</Words>
  <Characters>1589</Characters>
  <Application>Microsoft Office Word</Application>
  <DocSecurity>0</DocSecurity>
  <Lines>42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1839</CharactersWithSpaces>
  <SharedDoc>false</SharedDoc>
  <HLinks>
    <vt:vector size="12" baseType="variant"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https://unece.org/transport/vehicle-regulations/wp29/resolutions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https://unece.org/transport/vehicle-regulations/wp29/resolutions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ECE/TRANS/WP.29/2024/169</dc:title>
  <dc:subject>2417873</dc:subject>
  <dc:creator>Edoardo Gianotti</dc:creator>
  <cp:keywords/>
  <dc:description/>
  <cp:lastModifiedBy>Don Canete Martin</cp:lastModifiedBy>
  <cp:revision>2</cp:revision>
  <cp:lastPrinted>2024-10-02T14:13:00Z</cp:lastPrinted>
  <dcterms:created xsi:type="dcterms:W3CDTF">2024-10-02T15:17:00Z</dcterms:created>
  <dcterms:modified xsi:type="dcterms:W3CDTF">2024-10-02T15:17:00Z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