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7D5CD1" w14:paraId="0248A4CA" w14:textId="77777777">
        <w:trPr>
          <w:cantSplit/>
          <w:trHeight w:hRule="exact" w:val="851"/>
        </w:trPr>
        <w:tc>
          <w:tcPr>
            <w:tcW w:w="1276" w:type="dxa"/>
            <w:tcBorders>
              <w:bottom w:val="single" w:sz="4" w:space="0" w:color="auto"/>
            </w:tcBorders>
            <w:vAlign w:val="bottom"/>
          </w:tcPr>
          <w:p w14:paraId="7BD4A4AF" w14:textId="026A9BA3" w:rsidR="007D5CD1" w:rsidRDefault="007D5CD1">
            <w:pPr>
              <w:spacing w:after="80"/>
              <w:jc w:val="center"/>
            </w:pPr>
          </w:p>
        </w:tc>
        <w:tc>
          <w:tcPr>
            <w:tcW w:w="2268" w:type="dxa"/>
            <w:tcBorders>
              <w:bottom w:val="single" w:sz="4" w:space="0" w:color="auto"/>
            </w:tcBorders>
            <w:vAlign w:val="bottom"/>
          </w:tcPr>
          <w:p w14:paraId="27BECF34" w14:textId="77777777" w:rsidR="007D5CD1" w:rsidRDefault="00746A4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E1FBAA8" w14:textId="5D55AA42" w:rsidR="007D5CD1" w:rsidRDefault="00746A41">
            <w:pPr>
              <w:jc w:val="right"/>
            </w:pPr>
            <w:r>
              <w:rPr>
                <w:sz w:val="40"/>
              </w:rPr>
              <w:t>ECE</w:t>
            </w:r>
            <w:r>
              <w:t>/TRANS/WP.29/GRE/202</w:t>
            </w:r>
            <w:r w:rsidR="00CD26B1">
              <w:t>6</w:t>
            </w:r>
            <w:r>
              <w:t>/</w:t>
            </w:r>
            <w:r w:rsidR="00ED1752">
              <w:t>14</w:t>
            </w:r>
          </w:p>
        </w:tc>
      </w:tr>
      <w:tr w:rsidR="007D5CD1" w14:paraId="293035C1" w14:textId="77777777">
        <w:trPr>
          <w:cantSplit/>
          <w:trHeight w:hRule="exact" w:val="2835"/>
        </w:trPr>
        <w:tc>
          <w:tcPr>
            <w:tcW w:w="1276" w:type="dxa"/>
            <w:tcBorders>
              <w:top w:val="single" w:sz="4" w:space="0" w:color="auto"/>
              <w:bottom w:val="single" w:sz="12" w:space="0" w:color="auto"/>
            </w:tcBorders>
          </w:tcPr>
          <w:p w14:paraId="37E6801F" w14:textId="77777777" w:rsidR="007D5CD1" w:rsidRDefault="00746A41">
            <w:pPr>
              <w:spacing w:before="120"/>
            </w:pPr>
            <w:r>
              <w:rPr>
                <w:noProof/>
                <w:lang w:val="de-DE" w:eastAsia="de-DE"/>
              </w:rPr>
              <w:drawing>
                <wp:inline distT="0" distB="0" distL="0" distR="0" wp14:anchorId="31AE79F8" wp14:editId="0D89F92A">
                  <wp:extent cx="716915" cy="592455"/>
                  <wp:effectExtent l="0" t="0" r="6985" b="0"/>
                  <wp:docPr id="14" name="Picture 1"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0CDFB95" w14:textId="6C6E1794" w:rsidR="007D5CD1" w:rsidRDefault="005625E8">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9395733" w14:textId="77777777" w:rsidR="007D5CD1" w:rsidRDefault="00746A41">
            <w:pPr>
              <w:spacing w:before="240" w:line="240" w:lineRule="exact"/>
            </w:pPr>
            <w:r>
              <w:t>Distr.: General</w:t>
            </w:r>
          </w:p>
          <w:p w14:paraId="47D311B9" w14:textId="4F11BB50" w:rsidR="007D5CD1" w:rsidRDefault="00ED1752">
            <w:pPr>
              <w:spacing w:line="240" w:lineRule="exact"/>
            </w:pPr>
            <w:r>
              <w:t>10 February 2026</w:t>
            </w:r>
          </w:p>
          <w:p w14:paraId="075BCA04" w14:textId="77777777" w:rsidR="007D5CD1" w:rsidRDefault="007D5CD1">
            <w:pPr>
              <w:spacing w:line="240" w:lineRule="exact"/>
            </w:pPr>
          </w:p>
          <w:p w14:paraId="6761ACD4" w14:textId="77777777" w:rsidR="007D5CD1" w:rsidRDefault="00746A41">
            <w:pPr>
              <w:spacing w:line="240" w:lineRule="exact"/>
            </w:pPr>
            <w:r>
              <w:t>Original: English</w:t>
            </w:r>
          </w:p>
        </w:tc>
      </w:tr>
    </w:tbl>
    <w:p w14:paraId="398B06CE" w14:textId="77777777" w:rsidR="007D5CD1" w:rsidRDefault="00746A41">
      <w:pPr>
        <w:spacing w:before="120"/>
        <w:rPr>
          <w:b/>
          <w:sz w:val="28"/>
          <w:szCs w:val="28"/>
        </w:rPr>
      </w:pPr>
      <w:r>
        <w:rPr>
          <w:b/>
          <w:sz w:val="28"/>
          <w:szCs w:val="28"/>
        </w:rPr>
        <w:t>Economic Commission for Europe</w:t>
      </w:r>
    </w:p>
    <w:p w14:paraId="2590D093" w14:textId="77777777" w:rsidR="007D5CD1" w:rsidRDefault="00746A41">
      <w:pPr>
        <w:spacing w:before="120"/>
        <w:rPr>
          <w:sz w:val="28"/>
          <w:szCs w:val="28"/>
        </w:rPr>
      </w:pPr>
      <w:r>
        <w:rPr>
          <w:sz w:val="28"/>
          <w:szCs w:val="28"/>
        </w:rPr>
        <w:t>Inland Transport Committee</w:t>
      </w:r>
    </w:p>
    <w:p w14:paraId="3F9E52AC" w14:textId="77777777" w:rsidR="007D5CD1" w:rsidRDefault="00746A41">
      <w:pPr>
        <w:spacing w:before="120"/>
        <w:rPr>
          <w:b/>
          <w:sz w:val="24"/>
          <w:szCs w:val="24"/>
        </w:rPr>
      </w:pPr>
      <w:r>
        <w:rPr>
          <w:b/>
          <w:sz w:val="24"/>
          <w:szCs w:val="24"/>
        </w:rPr>
        <w:t>World Forum for Harmonization of Vehicle Regulations</w:t>
      </w:r>
    </w:p>
    <w:p w14:paraId="37D65DF6" w14:textId="77777777" w:rsidR="007D5CD1" w:rsidRDefault="00746A41">
      <w:pPr>
        <w:spacing w:before="120" w:after="120"/>
        <w:rPr>
          <w:b/>
          <w:bCs/>
        </w:rPr>
      </w:pPr>
      <w:r>
        <w:rPr>
          <w:b/>
          <w:bCs/>
        </w:rPr>
        <w:t>Working Party on Lighting and Light-Signalling</w:t>
      </w:r>
    </w:p>
    <w:p w14:paraId="35DF792A" w14:textId="6143FA72" w:rsidR="007D5CD1" w:rsidRPr="005979FA" w:rsidRDefault="005979FA">
      <w:pPr>
        <w:ind w:right="1134"/>
        <w:rPr>
          <w:b/>
        </w:rPr>
      </w:pPr>
      <w:r>
        <w:rPr>
          <w:rFonts w:hint="eastAsia"/>
          <w:b/>
          <w:color w:val="000000" w:themeColor="text1"/>
          <w:lang w:eastAsia="ja-JP"/>
        </w:rPr>
        <w:t>N</w:t>
      </w:r>
      <w:r w:rsidRPr="00142655">
        <w:rPr>
          <w:b/>
          <w:color w:val="000000" w:themeColor="text1"/>
          <w:lang w:eastAsia="ja-JP"/>
        </w:rPr>
        <w:t>inet</w:t>
      </w:r>
      <w:r>
        <w:rPr>
          <w:b/>
          <w:color w:val="000000" w:themeColor="text1"/>
          <w:lang w:eastAsia="ja-JP"/>
        </w:rPr>
        <w:t>y-fourth</w:t>
      </w:r>
      <w:r w:rsidRPr="00A868B6">
        <w:rPr>
          <w:b/>
          <w:color w:val="000000" w:themeColor="text1"/>
        </w:rPr>
        <w:t xml:space="preserve"> </w:t>
      </w:r>
      <w:r w:rsidRPr="005979FA">
        <w:rPr>
          <w:b/>
        </w:rPr>
        <w:t>session</w:t>
      </w:r>
    </w:p>
    <w:p w14:paraId="59380F15" w14:textId="78B62068" w:rsidR="007D5CD1" w:rsidRDefault="00746A41">
      <w:pPr>
        <w:ind w:right="1134"/>
      </w:pPr>
      <w:r w:rsidRPr="005979FA">
        <w:t xml:space="preserve">Geneva, </w:t>
      </w:r>
      <w:r w:rsidR="00EE6E78">
        <w:t>2</w:t>
      </w:r>
      <w:r w:rsidR="00E650D1">
        <w:t>7-30</w:t>
      </w:r>
      <w:r>
        <w:t xml:space="preserve"> </w:t>
      </w:r>
      <w:r w:rsidR="005979FA">
        <w:t>April</w:t>
      </w:r>
      <w:r>
        <w:t xml:space="preserve"> 20</w:t>
      </w:r>
      <w:r w:rsidR="005979FA">
        <w:t>26</w:t>
      </w:r>
    </w:p>
    <w:p w14:paraId="56A775C4" w14:textId="6D0978AA" w:rsidR="007D5CD1" w:rsidRDefault="00746A41">
      <w:pPr>
        <w:ind w:right="1134"/>
        <w:rPr>
          <w:bCs/>
        </w:rPr>
      </w:pPr>
      <w:r w:rsidRPr="00ED1752">
        <w:rPr>
          <w:bCs/>
        </w:rPr>
        <w:t xml:space="preserve">Item </w:t>
      </w:r>
      <w:r w:rsidR="00ED1752" w:rsidRPr="00ED1752">
        <w:rPr>
          <w:bCs/>
        </w:rPr>
        <w:t xml:space="preserve">7 (c) </w:t>
      </w:r>
      <w:r>
        <w:rPr>
          <w:bCs/>
        </w:rPr>
        <w:t>of the provisional agenda</w:t>
      </w:r>
    </w:p>
    <w:p w14:paraId="2B7F7924" w14:textId="77777777" w:rsidR="005B751C" w:rsidRPr="00A95F51" w:rsidRDefault="005B751C" w:rsidP="005B751C">
      <w:pPr>
        <w:ind w:right="1467"/>
        <w:jc w:val="both"/>
        <w:rPr>
          <w:b/>
          <w:bCs/>
        </w:rPr>
      </w:pPr>
      <w:r w:rsidRPr="00A95F51">
        <w:rPr>
          <w:b/>
          <w:bCs/>
        </w:rPr>
        <w:t xml:space="preserve">Device UN Regulations: </w:t>
      </w:r>
    </w:p>
    <w:p w14:paraId="715DB193" w14:textId="31A9B7EC" w:rsidR="007D5CD1" w:rsidRPr="00A95F51" w:rsidRDefault="005B751C" w:rsidP="005B751C">
      <w:pPr>
        <w:ind w:right="1467"/>
        <w:jc w:val="both"/>
        <w:rPr>
          <w:b/>
          <w:bCs/>
        </w:rPr>
      </w:pPr>
      <w:r w:rsidRPr="00A95F51">
        <w:rPr>
          <w:b/>
          <w:bCs/>
        </w:rPr>
        <w:t>UN Regulation No. 1</w:t>
      </w:r>
      <w:r w:rsidR="007A6432" w:rsidRPr="00A95F51">
        <w:rPr>
          <w:b/>
          <w:bCs/>
        </w:rPr>
        <w:t>50</w:t>
      </w:r>
      <w:r w:rsidRPr="00A95F51">
        <w:rPr>
          <w:b/>
          <w:bCs/>
        </w:rPr>
        <w:t xml:space="preserve"> (</w:t>
      </w:r>
      <w:r w:rsidR="007A6432" w:rsidRPr="00A95F51">
        <w:rPr>
          <w:b/>
          <w:bCs/>
        </w:rPr>
        <w:t>Retro-Reflective Devices</w:t>
      </w:r>
      <w:r w:rsidRPr="00A95F51">
        <w:rPr>
          <w:b/>
          <w:bCs/>
        </w:rPr>
        <w:t>)</w:t>
      </w:r>
    </w:p>
    <w:p w14:paraId="32723848" w14:textId="51880FA3" w:rsidR="007D5CD1" w:rsidRDefault="00746A41">
      <w:pPr>
        <w:pStyle w:val="HChG"/>
      </w:pPr>
      <w:r w:rsidRPr="00A95F51">
        <w:tab/>
      </w:r>
      <w:r w:rsidRPr="00A95F51">
        <w:tab/>
      </w:r>
      <w:r w:rsidR="005979FA">
        <w:t xml:space="preserve">Proposal for a Supplement to the </w:t>
      </w:r>
      <w:r w:rsidR="00EE6E78">
        <w:t>0</w:t>
      </w:r>
      <w:r w:rsidR="00250617">
        <w:t>1</w:t>
      </w:r>
      <w:r w:rsidR="00DE2B84">
        <w:t xml:space="preserve"> </w:t>
      </w:r>
      <w:r w:rsidR="005979FA">
        <w:t xml:space="preserve">series of amendments to </w:t>
      </w:r>
      <w:r>
        <w:t xml:space="preserve">UN Regulation No. </w:t>
      </w:r>
      <w:r w:rsidR="00250617">
        <w:t>1</w:t>
      </w:r>
      <w:r w:rsidR="007A6432">
        <w:t>50</w:t>
      </w:r>
    </w:p>
    <w:p w14:paraId="62E600F0" w14:textId="497F77AA" w:rsidR="007D5CD1" w:rsidRDefault="00746A41">
      <w:pPr>
        <w:pStyle w:val="H1G"/>
        <w:rPr>
          <w:szCs w:val="24"/>
        </w:rPr>
      </w:pPr>
      <w:r>
        <w:tab/>
      </w:r>
      <w:r>
        <w:tab/>
        <w:t>Submitted by the</w:t>
      </w:r>
      <w:r w:rsidR="00EE6E78" w:rsidRPr="00EE6E78">
        <w:rPr>
          <w:szCs w:val="24"/>
        </w:rPr>
        <w:t xml:space="preserve"> </w:t>
      </w:r>
      <w:r w:rsidR="00EE6E78" w:rsidRPr="001A13D4">
        <w:rPr>
          <w:szCs w:val="24"/>
        </w:rPr>
        <w:t>expert</w:t>
      </w:r>
      <w:r w:rsidR="00EE6E78">
        <w:rPr>
          <w:szCs w:val="24"/>
        </w:rPr>
        <w:t>s</w:t>
      </w:r>
      <w:r w:rsidR="00EE6E78" w:rsidRPr="001A13D4">
        <w:rPr>
          <w:szCs w:val="24"/>
        </w:rPr>
        <w:t xml:space="preserve"> from </w:t>
      </w:r>
      <w:r w:rsidR="00EE6E78">
        <w:rPr>
          <w:szCs w:val="24"/>
        </w:rPr>
        <w:t>T</w:t>
      </w:r>
      <w:r w:rsidR="00EE6E78" w:rsidRPr="001A13D4">
        <w:rPr>
          <w:szCs w:val="24"/>
        </w:rPr>
        <w:t>he International Automotive Lighting and Light</w:t>
      </w:r>
      <w:r w:rsidR="00EE6E78">
        <w:rPr>
          <w:szCs w:val="24"/>
        </w:rPr>
        <w:t>-</w:t>
      </w:r>
      <w:r w:rsidR="00EE6E78" w:rsidRPr="001A13D4">
        <w:rPr>
          <w:szCs w:val="24"/>
        </w:rPr>
        <w:t>Signalling Expert Group</w:t>
      </w:r>
      <w:r>
        <w:footnoteReference w:customMarkFollows="1" w:id="2"/>
        <w:t>*</w:t>
      </w:r>
      <w:r>
        <w:rPr>
          <w:szCs w:val="24"/>
        </w:rPr>
        <w:t xml:space="preserve"> </w:t>
      </w:r>
    </w:p>
    <w:p w14:paraId="2249CA2F" w14:textId="668D9376" w:rsidR="00FC151A" w:rsidRDefault="00EE6E78">
      <w:pPr>
        <w:pStyle w:val="SingleTxtG"/>
        <w:tabs>
          <w:tab w:val="left" w:pos="8505"/>
        </w:tabs>
        <w:ind w:firstLine="567"/>
        <w:rPr>
          <w:lang w:val="en-US"/>
        </w:rPr>
      </w:pPr>
      <w:r>
        <w:t xml:space="preserve">The text reproduced below was prepared by </w:t>
      </w:r>
      <w:r w:rsidRPr="00EC30B1">
        <w:t>the expert</w:t>
      </w:r>
      <w:r>
        <w:t>s</w:t>
      </w:r>
      <w:r w:rsidRPr="00EC30B1">
        <w:t xml:space="preserve"> from the International Automotive Lighting and Ligh</w:t>
      </w:r>
      <w:r>
        <w:t xml:space="preserve">t-Signalling Expert Group (GTB) with the aim </w:t>
      </w:r>
      <w:r w:rsidR="00EA0555">
        <w:t xml:space="preserve">to </w:t>
      </w:r>
      <w:r w:rsidR="007A6432">
        <w:t>a</w:t>
      </w:r>
      <w:r w:rsidR="007A6432" w:rsidRPr="007A6432">
        <w:t>lign the marking location requirement</w:t>
      </w:r>
      <w:r w:rsidR="007A6432">
        <w:t>s with those of UN Regulation No. 148</w:t>
      </w:r>
      <w:r w:rsidR="000B320C">
        <w:t>.</w:t>
      </w:r>
      <w:r>
        <w:t xml:space="preserve"> </w:t>
      </w:r>
      <w:r w:rsidRPr="00AA18F7">
        <w:t>The</w:t>
      </w:r>
      <w:r>
        <w:t xml:space="preserve"> proposed</w:t>
      </w:r>
      <w:r w:rsidRPr="00AA18F7">
        <w:t xml:space="preserve"> modifications to the current text of the </w:t>
      </w:r>
      <w:r>
        <w:t xml:space="preserve">UN </w:t>
      </w:r>
      <w:r w:rsidRPr="00AA18F7">
        <w:t>Regulation</w:t>
      </w:r>
      <w:r>
        <w:t>s</w:t>
      </w:r>
      <w:r w:rsidRPr="00AA18F7">
        <w:t xml:space="preserve"> are marked in bold for new or strikethrough for deleted characters</w:t>
      </w:r>
      <w:r w:rsidR="00FC151A">
        <w:t>.</w:t>
      </w:r>
    </w:p>
    <w:p w14:paraId="2CBEEEC6" w14:textId="3D7D146C" w:rsidR="007D5CD1" w:rsidRDefault="007D5CD1">
      <w:pPr>
        <w:pStyle w:val="SingleTxtG"/>
        <w:tabs>
          <w:tab w:val="left" w:pos="8505"/>
        </w:tabs>
        <w:ind w:firstLine="567"/>
        <w:rPr>
          <w:b/>
          <w:bCs/>
        </w:rPr>
      </w:pPr>
    </w:p>
    <w:p w14:paraId="33DAF7E0" w14:textId="77777777" w:rsidR="007D5CD1" w:rsidRDefault="007D5CD1">
      <w:pPr>
        <w:rPr>
          <w:lang w:val="en-US"/>
        </w:rPr>
        <w:sectPr w:rsidR="007D5CD1" w:rsidSect="00FA37D8">
          <w:headerReference w:type="default" r:id="rId12"/>
          <w:footerReference w:type="even" r:id="rId13"/>
          <w:footerReference w:type="default" r:id="rId14"/>
          <w:footerReference w:type="first" r:id="rId15"/>
          <w:pgSz w:w="11906" w:h="16838" w:code="9"/>
          <w:pgMar w:top="1418" w:right="1134" w:bottom="1134" w:left="1134" w:header="851" w:footer="567" w:gutter="0"/>
          <w:cols w:space="720"/>
          <w:docGrid w:linePitch="272"/>
        </w:sectPr>
      </w:pPr>
    </w:p>
    <w:p w14:paraId="72640CF6" w14:textId="0E5FB364" w:rsidR="007D5CD1" w:rsidRPr="00FA37D8" w:rsidRDefault="00746A41" w:rsidP="009E0E5C">
      <w:pPr>
        <w:pStyle w:val="H1G"/>
        <w:ind w:hanging="567"/>
        <w:rPr>
          <w:sz w:val="28"/>
          <w:szCs w:val="28"/>
        </w:rPr>
      </w:pPr>
      <w:r w:rsidRPr="00FA37D8">
        <w:rPr>
          <w:sz w:val="28"/>
          <w:szCs w:val="28"/>
        </w:rPr>
        <w:lastRenderedPageBreak/>
        <w:tab/>
        <w:t>I.</w:t>
      </w:r>
      <w:r w:rsidRPr="00FA37D8">
        <w:rPr>
          <w:sz w:val="28"/>
          <w:szCs w:val="28"/>
        </w:rPr>
        <w:tab/>
      </w:r>
      <w:r w:rsidRPr="00FA37D8">
        <w:rPr>
          <w:rFonts w:eastAsia="SimSun"/>
          <w:sz w:val="28"/>
          <w:szCs w:val="28"/>
          <w:lang w:val="en-US"/>
        </w:rPr>
        <w:t>Proposal</w:t>
      </w:r>
      <w:r w:rsidR="00EE6E78" w:rsidRPr="00FA37D8">
        <w:rPr>
          <w:rFonts w:eastAsia="SimSun"/>
          <w:sz w:val="28"/>
          <w:szCs w:val="28"/>
          <w:lang w:val="en-US"/>
        </w:rPr>
        <w:t xml:space="preserve"> for a Supplement to the 0</w:t>
      </w:r>
      <w:r w:rsidR="00250617" w:rsidRPr="00FA37D8">
        <w:rPr>
          <w:rFonts w:eastAsia="SimSun"/>
          <w:sz w:val="28"/>
          <w:szCs w:val="28"/>
          <w:lang w:val="en-US"/>
        </w:rPr>
        <w:t>1</w:t>
      </w:r>
      <w:r w:rsidR="00EE6E78" w:rsidRPr="00FA37D8">
        <w:rPr>
          <w:rFonts w:eastAsia="SimSun"/>
          <w:sz w:val="28"/>
          <w:szCs w:val="28"/>
          <w:lang w:val="en-US"/>
        </w:rPr>
        <w:t xml:space="preserve"> series of amendments to UN Regulation No. </w:t>
      </w:r>
      <w:r w:rsidR="00250617" w:rsidRPr="00FA37D8">
        <w:rPr>
          <w:rFonts w:eastAsia="SimSun"/>
          <w:sz w:val="28"/>
          <w:szCs w:val="28"/>
          <w:lang w:val="en-US"/>
        </w:rPr>
        <w:t>1</w:t>
      </w:r>
      <w:r w:rsidR="007A6432" w:rsidRPr="00FA37D8">
        <w:rPr>
          <w:rFonts w:eastAsia="SimSun"/>
          <w:sz w:val="28"/>
          <w:szCs w:val="28"/>
          <w:lang w:val="en-US"/>
        </w:rPr>
        <w:t>50</w:t>
      </w:r>
    </w:p>
    <w:p w14:paraId="32491993" w14:textId="77777777" w:rsidR="007A6432" w:rsidRPr="00060CE7" w:rsidRDefault="007A6432" w:rsidP="007A6432">
      <w:pPr>
        <w:spacing w:after="240"/>
        <w:ind w:left="2268" w:right="1134" w:hanging="1134"/>
        <w:rPr>
          <w:i/>
          <w:iCs/>
          <w:lang w:eastAsia="ja-JP"/>
        </w:rPr>
      </w:pPr>
      <w:r w:rsidRPr="00060CE7">
        <w:rPr>
          <w:i/>
          <w:iCs/>
          <w:lang w:val="en-US"/>
        </w:rPr>
        <w:t>Paragraph 3.3.1.</w:t>
      </w:r>
      <w:r w:rsidRPr="00060CE7">
        <w:rPr>
          <w:rFonts w:hint="eastAsia"/>
          <w:i/>
          <w:iCs/>
          <w:lang w:val="en-US" w:eastAsia="ja-JP"/>
        </w:rPr>
        <w:t>3</w:t>
      </w:r>
      <w:r w:rsidRPr="00060CE7">
        <w:rPr>
          <w:i/>
          <w:iCs/>
          <w:lang w:val="en-US"/>
        </w:rPr>
        <w:t>.,</w:t>
      </w:r>
      <w:r w:rsidRPr="00060CE7">
        <w:rPr>
          <w:lang w:val="en-US"/>
        </w:rPr>
        <w:t xml:space="preserve"> amend to read:</w:t>
      </w:r>
    </w:p>
    <w:p w14:paraId="3966E456" w14:textId="37EA8209" w:rsidR="007A6432" w:rsidRDefault="007A6432" w:rsidP="007A6432">
      <w:pPr>
        <w:widowControl w:val="0"/>
        <w:autoSpaceDE w:val="0"/>
        <w:autoSpaceDN w:val="0"/>
        <w:adjustRightInd w:val="0"/>
        <w:ind w:left="2268" w:right="1134" w:hanging="1134"/>
        <w:jc w:val="both"/>
        <w:rPr>
          <w:lang w:val="en-US"/>
        </w:rPr>
      </w:pPr>
      <w:r>
        <w:rPr>
          <w:lang w:val="en-US"/>
        </w:rPr>
        <w:t>“</w:t>
      </w:r>
      <w:r w:rsidRPr="00F61D55">
        <w:rPr>
          <w:lang w:val="en-US"/>
        </w:rPr>
        <w:t>3.3.1.3.</w:t>
      </w:r>
      <w:r>
        <w:rPr>
          <w:b/>
          <w:bCs/>
          <w:lang w:val="en-US"/>
        </w:rPr>
        <w:tab/>
      </w:r>
      <w:proofErr w:type="gramStart"/>
      <w:r w:rsidRPr="00F7440D">
        <w:rPr>
          <w:lang w:val="en-US"/>
        </w:rPr>
        <w:t>With regard to</w:t>
      </w:r>
      <w:proofErr w:type="gramEnd"/>
      <w:r w:rsidRPr="00F7440D">
        <w:rPr>
          <w:lang w:val="en-US"/>
        </w:rPr>
        <w:t xml:space="preserve"> the size of the approval marking the value for "a" is defined in Table 1.</w:t>
      </w:r>
    </w:p>
    <w:p w14:paraId="77C57414" w14:textId="77777777" w:rsidR="00FE21FE" w:rsidRPr="00190146" w:rsidRDefault="00FE21FE" w:rsidP="007A6432">
      <w:pPr>
        <w:widowControl w:val="0"/>
        <w:autoSpaceDE w:val="0"/>
        <w:autoSpaceDN w:val="0"/>
        <w:adjustRightInd w:val="0"/>
        <w:ind w:left="2268" w:right="1134" w:hanging="1134"/>
        <w:jc w:val="both"/>
        <w:rPr>
          <w:b/>
          <w:bCs/>
          <w:lang w:val="en-US"/>
        </w:rPr>
      </w:pPr>
    </w:p>
    <w:p w14:paraId="49D07A39" w14:textId="77777777" w:rsidR="00FE21FE" w:rsidRPr="00FE21FE" w:rsidRDefault="00FE21FE" w:rsidP="00FE21FE">
      <w:pPr>
        <w:pStyle w:val="NoSpacing"/>
        <w:ind w:left="2268"/>
      </w:pPr>
      <w:r w:rsidRPr="00FE21FE">
        <w:t>Figure I</w:t>
      </w:r>
    </w:p>
    <w:p w14:paraId="65FCCDAF" w14:textId="5DEDAE14" w:rsidR="007A6432" w:rsidRDefault="00FE21FE" w:rsidP="00FE21FE">
      <w:pPr>
        <w:ind w:left="2268"/>
        <w:rPr>
          <w:b/>
          <w:bCs/>
        </w:rPr>
      </w:pPr>
      <w:r w:rsidRPr="00FE21FE">
        <w:rPr>
          <w:b/>
          <w:bCs/>
        </w:rPr>
        <w:t>Approval markings proportions</w:t>
      </w:r>
    </w:p>
    <w:p w14:paraId="2E6B9A5A" w14:textId="04616595" w:rsidR="007A6432" w:rsidRDefault="000D5F93" w:rsidP="007A6432">
      <w:pPr>
        <w:jc w:val="center"/>
        <w:rPr>
          <w:lang w:eastAsia="ja-JP"/>
        </w:rPr>
      </w:pPr>
      <w:r>
        <w:rPr>
          <w:noProof/>
          <w:lang w:eastAsia="ja-JP"/>
        </w:rPr>
        <w:drawing>
          <wp:inline distT="0" distB="0" distL="0" distR="0" wp14:anchorId="33D98E12" wp14:editId="058CC4AA">
            <wp:extent cx="2573020" cy="1957070"/>
            <wp:effectExtent l="0" t="0" r="0" b="0"/>
            <wp:docPr id="7468518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957070"/>
                    </a:xfrm>
                    <a:prstGeom prst="rect">
                      <a:avLst/>
                    </a:prstGeom>
                    <a:noFill/>
                  </pic:spPr>
                </pic:pic>
              </a:graphicData>
            </a:graphic>
          </wp:inline>
        </w:drawing>
      </w:r>
    </w:p>
    <w:p w14:paraId="232EFDC4" w14:textId="01A4250C" w:rsidR="007A6432" w:rsidRDefault="007A6432" w:rsidP="007A6432">
      <w:pPr>
        <w:jc w:val="center"/>
        <w:rPr>
          <w:lang w:eastAsia="ja-JP"/>
        </w:rPr>
      </w:pPr>
      <w:r w:rsidRPr="00F7440D">
        <w:rPr>
          <w:lang w:val="en-US"/>
        </w:rPr>
        <w:t>Examples of the arrangement of the markings are shown in Annex 10</w:t>
      </w:r>
      <w:proofErr w:type="gramStart"/>
      <w:r w:rsidRPr="00F7440D">
        <w:rPr>
          <w:lang w:val="en-US"/>
        </w:rPr>
        <w:t>.</w:t>
      </w:r>
      <w:r>
        <w:rPr>
          <w:lang w:val="en-US"/>
        </w:rPr>
        <w:t xml:space="preserve"> ”</w:t>
      </w:r>
      <w:proofErr w:type="gramEnd"/>
    </w:p>
    <w:p w14:paraId="74BDE164" w14:textId="77777777" w:rsidR="00EB01FD" w:rsidRDefault="00EB01FD" w:rsidP="007A6432">
      <w:pPr>
        <w:ind w:left="2268" w:right="1134" w:hanging="1134"/>
        <w:rPr>
          <w:lang w:eastAsia="ja-JP"/>
        </w:rPr>
      </w:pPr>
    </w:p>
    <w:p w14:paraId="680042D2" w14:textId="32B5AAD2" w:rsidR="00EB01FD" w:rsidRDefault="003331FC" w:rsidP="00DE1DA3">
      <w:pPr>
        <w:spacing w:after="240"/>
        <w:ind w:left="2268" w:right="1134" w:hanging="1134"/>
        <w:rPr>
          <w:lang w:val="en-US"/>
        </w:rPr>
      </w:pPr>
      <w:r w:rsidRPr="003331FC">
        <w:rPr>
          <w:i/>
          <w:iCs/>
          <w:lang w:val="en-US"/>
        </w:rPr>
        <w:t xml:space="preserve">Paragraph 3.3.3.1., </w:t>
      </w:r>
      <w:r w:rsidRPr="003331FC">
        <w:rPr>
          <w:lang w:val="en-US"/>
        </w:rPr>
        <w:t>renumber “Figure I” to read “Figure II”</w:t>
      </w:r>
    </w:p>
    <w:p w14:paraId="5E4591AA" w14:textId="77777777" w:rsidR="007A6432" w:rsidRPr="00060CE7" w:rsidRDefault="007A6432" w:rsidP="007A6432">
      <w:pPr>
        <w:ind w:left="1134"/>
        <w:rPr>
          <w:i/>
          <w:iCs/>
          <w:lang w:eastAsia="ja-JP"/>
        </w:rPr>
      </w:pPr>
      <w:r w:rsidRPr="00060CE7">
        <w:rPr>
          <w:i/>
          <w:iCs/>
          <w:lang w:eastAsia="ja-JP"/>
        </w:rPr>
        <w:t>Figure A10-1,</w:t>
      </w:r>
      <w:r w:rsidRPr="00060CE7">
        <w:rPr>
          <w:lang w:eastAsia="ja-JP"/>
        </w:rPr>
        <w:t xml:space="preserve"> amend to read: </w:t>
      </w:r>
    </w:p>
    <w:p w14:paraId="2DF1FEBA" w14:textId="77777777" w:rsidR="007A6432" w:rsidRDefault="007A6432" w:rsidP="007A6432">
      <w:pPr>
        <w:ind w:left="1134"/>
        <w:rPr>
          <w:lang w:eastAsia="ja-JP"/>
        </w:rPr>
      </w:pPr>
    </w:p>
    <w:p w14:paraId="37C5E27D" w14:textId="77777777" w:rsidR="007A6432" w:rsidRDefault="007A6432" w:rsidP="007A6432">
      <w:pPr>
        <w:jc w:val="center"/>
        <w:rPr>
          <w:b/>
          <w:bCs/>
          <w:sz w:val="21"/>
          <w:szCs w:val="21"/>
          <w:lang w:val="en-US"/>
        </w:rPr>
      </w:pPr>
      <w:proofErr w:type="gramStart"/>
      <w:r>
        <w:rPr>
          <w:b/>
          <w:bCs/>
          <w:sz w:val="21"/>
          <w:szCs w:val="21"/>
          <w:lang w:val="en-US"/>
        </w:rPr>
        <w:t>“ Figure</w:t>
      </w:r>
      <w:proofErr w:type="gramEnd"/>
      <w:r>
        <w:rPr>
          <w:b/>
          <w:bCs/>
          <w:sz w:val="21"/>
          <w:szCs w:val="21"/>
          <w:lang w:val="en-US"/>
        </w:rPr>
        <w:t xml:space="preserve"> A10-I: Marking examples for single devices</w:t>
      </w:r>
    </w:p>
    <w:p w14:paraId="3D8EA2BD" w14:textId="23370501" w:rsidR="007A6432" w:rsidRDefault="007A6432" w:rsidP="007A6432">
      <w:pPr>
        <w:jc w:val="center"/>
        <w:rPr>
          <w:b/>
          <w:bCs/>
          <w:sz w:val="21"/>
          <w:szCs w:val="21"/>
          <w:lang w:val="en-US"/>
        </w:rPr>
      </w:pPr>
    </w:p>
    <w:tbl>
      <w:tblPr>
        <w:tblStyle w:val="TableGrid"/>
        <w:tblW w:w="803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3915"/>
      </w:tblGrid>
      <w:tr w:rsidR="007A6432" w:rsidRPr="001A1A61" w14:paraId="45F18DE1" w14:textId="77777777" w:rsidTr="008E47A6">
        <w:tc>
          <w:tcPr>
            <w:tcW w:w="4123" w:type="dxa"/>
            <w:hideMark/>
          </w:tcPr>
          <w:p w14:paraId="676EBADE" w14:textId="77777777" w:rsidR="007A6432" w:rsidRDefault="004D0431" w:rsidP="008E47A6">
            <w:pPr>
              <w:pStyle w:val="SingleTxtG"/>
              <w:spacing w:before="120"/>
              <w:ind w:left="0" w:right="0"/>
              <w:jc w:val="center"/>
              <w:rPr>
                <w:noProof/>
                <w:lang w:val="de-DE" w:eastAsia="de-DE"/>
              </w:rPr>
            </w:pPr>
            <w:r>
              <w:rPr>
                <w:noProof/>
                <w:lang w:val="de-DE" w:eastAsia="de-DE"/>
              </w:rPr>
              <w:drawing>
                <wp:inline distT="0" distB="0" distL="0" distR="0" wp14:anchorId="29523258" wp14:editId="377CB928">
                  <wp:extent cx="2207260" cy="1823085"/>
                  <wp:effectExtent l="0" t="0" r="0" b="0"/>
                  <wp:docPr id="184389615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7260" cy="1823085"/>
                          </a:xfrm>
                          <a:prstGeom prst="rect">
                            <a:avLst/>
                          </a:prstGeom>
                          <a:noFill/>
                        </pic:spPr>
                      </pic:pic>
                    </a:graphicData>
                  </a:graphic>
                </wp:inline>
              </w:drawing>
            </w:r>
          </w:p>
          <w:p w14:paraId="2405F185" w14:textId="10C7B70E" w:rsidR="004D0431" w:rsidRPr="001A1A61" w:rsidRDefault="003032FD" w:rsidP="008E47A6">
            <w:pPr>
              <w:pStyle w:val="SingleTxtG"/>
              <w:spacing w:before="120"/>
              <w:ind w:left="0" w:right="0"/>
              <w:jc w:val="center"/>
              <w:rPr>
                <w:noProof/>
                <w:lang w:val="de-DE" w:eastAsia="de-DE"/>
              </w:rPr>
            </w:pPr>
            <w:r>
              <w:rPr>
                <w:b/>
                <w:bCs/>
                <w:noProof/>
                <w:sz w:val="21"/>
                <w:szCs w:val="21"/>
                <w:lang w:val="en-US"/>
              </w:rPr>
              <w:lastRenderedPageBreak/>
              <mc:AlternateContent>
                <mc:Choice Requires="wps">
                  <w:drawing>
                    <wp:anchor distT="0" distB="0" distL="114300" distR="114300" simplePos="0" relativeHeight="251658240" behindDoc="0" locked="0" layoutInCell="1" allowOverlap="1" wp14:anchorId="5E02D135" wp14:editId="3E0423A9">
                      <wp:simplePos x="0" y="0"/>
                      <wp:positionH relativeFrom="column">
                        <wp:posOffset>-94762</wp:posOffset>
                      </wp:positionH>
                      <wp:positionV relativeFrom="paragraph">
                        <wp:posOffset>-1857</wp:posOffset>
                      </wp:positionV>
                      <wp:extent cx="2717320" cy="1992702"/>
                      <wp:effectExtent l="19050" t="19050" r="26035" b="26670"/>
                      <wp:wrapNone/>
                      <wp:docPr id="1778359860" name="Connettore diritto 3"/>
                      <wp:cNvGraphicFramePr/>
                      <a:graphic xmlns:a="http://schemas.openxmlformats.org/drawingml/2006/main">
                        <a:graphicData uri="http://schemas.microsoft.com/office/word/2010/wordprocessingShape">
                          <wps:wsp>
                            <wps:cNvCnPr/>
                            <wps:spPr>
                              <a:xfrm flipV="1">
                                <a:off x="0" y="0"/>
                                <a:ext cx="2717320" cy="1992702"/>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335C6" id="Connettore diritto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45pt,-.15pt" to="206.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" strokecolor="black [3213]" strokeweight="3.5pt"/>
                  </w:pict>
                </mc:Fallback>
              </mc:AlternateContent>
            </w:r>
            <w:r>
              <w:rPr>
                <w:b/>
                <w:bCs/>
                <w:noProof/>
                <w:sz w:val="21"/>
                <w:szCs w:val="21"/>
                <w:lang w:val="en-US"/>
              </w:rPr>
              <mc:AlternateContent>
                <mc:Choice Requires="wps">
                  <w:drawing>
                    <wp:anchor distT="0" distB="0" distL="114300" distR="114300" simplePos="0" relativeHeight="251658241" behindDoc="0" locked="0" layoutInCell="1" allowOverlap="1" wp14:anchorId="435C58E7" wp14:editId="787BEB54">
                      <wp:simplePos x="0" y="0"/>
                      <wp:positionH relativeFrom="column">
                        <wp:posOffset>-126755</wp:posOffset>
                      </wp:positionH>
                      <wp:positionV relativeFrom="paragraph">
                        <wp:posOffset>16999</wp:posOffset>
                      </wp:positionV>
                      <wp:extent cx="2870799" cy="1939146"/>
                      <wp:effectExtent l="19050" t="19050" r="25400" b="23495"/>
                      <wp:wrapNone/>
                      <wp:docPr id="1011611902" name="Connettore diritto 3"/>
                      <wp:cNvGraphicFramePr/>
                      <a:graphic xmlns:a="http://schemas.openxmlformats.org/drawingml/2006/main">
                        <a:graphicData uri="http://schemas.microsoft.com/office/word/2010/wordprocessingShape">
                          <wps:wsp>
                            <wps:cNvCnPr/>
                            <wps:spPr>
                              <a:xfrm>
                                <a:off x="0" y="0"/>
                                <a:ext cx="2870799" cy="1939146"/>
                              </a:xfrm>
                              <a:prstGeom prst="line">
                                <a:avLst/>
                              </a:prstGeom>
                              <a:ln w="444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73B9E" id="Connettore diritto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35pt" to="216.0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" strokecolor="black [3213]" strokeweight="3.5pt"/>
                  </w:pict>
                </mc:Fallback>
              </mc:AlternateContent>
            </w:r>
            <w:r w:rsidR="004D0431">
              <w:rPr>
                <w:noProof/>
                <w:lang w:eastAsia="ja-JP"/>
              </w:rPr>
              <w:drawing>
                <wp:inline distT="0" distB="0" distL="0" distR="0" wp14:anchorId="2C51714A" wp14:editId="4B73EAC4">
                  <wp:extent cx="2573020" cy="1957070"/>
                  <wp:effectExtent l="0" t="0" r="0" b="0"/>
                  <wp:docPr id="9516775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3020" cy="1957070"/>
                          </a:xfrm>
                          <a:prstGeom prst="rect">
                            <a:avLst/>
                          </a:prstGeom>
                          <a:noFill/>
                        </pic:spPr>
                      </pic:pic>
                    </a:graphicData>
                  </a:graphic>
                </wp:inline>
              </w:drawing>
            </w:r>
          </w:p>
        </w:tc>
        <w:tc>
          <w:tcPr>
            <w:tcW w:w="3915" w:type="dxa"/>
            <w:hideMark/>
          </w:tcPr>
          <w:p w14:paraId="130F5263" w14:textId="77777777" w:rsidR="007A6432" w:rsidRPr="001A1A61" w:rsidRDefault="007A6432" w:rsidP="008E47A6">
            <w:pPr>
              <w:pStyle w:val="SingleTxtG"/>
              <w:spacing w:before="120"/>
              <w:ind w:left="113" w:right="113"/>
            </w:pPr>
            <w:r w:rsidRPr="001A1A61">
              <w:lastRenderedPageBreak/>
              <w:t>Model A:</w:t>
            </w:r>
          </w:p>
          <w:p w14:paraId="4DD855FD" w14:textId="77777777" w:rsidR="007A6432" w:rsidRPr="001A1A61" w:rsidRDefault="007A6432" w:rsidP="008E47A6">
            <w:pPr>
              <w:pStyle w:val="SingleTxtG"/>
              <w:spacing w:before="120"/>
              <w:ind w:left="113" w:right="113"/>
            </w:pPr>
            <w:r w:rsidRPr="001A1A61">
              <w:t>This approval mark affixed to a retro-reflective device shows that the type of device concerned has been approved in the Netherlands (E4) under approval number 150R01 0216. The approval number shows that approval was granted in accordance with the requirements of this Regulation as modified by the 01 series of amendments.</w:t>
            </w:r>
          </w:p>
          <w:p w14:paraId="7F67A352" w14:textId="77777777" w:rsidR="007A6432" w:rsidRPr="00504C94" w:rsidRDefault="007A6432" w:rsidP="008E47A6">
            <w:pPr>
              <w:pStyle w:val="SingleTxtG"/>
              <w:spacing w:before="120"/>
              <w:ind w:left="113" w:right="113"/>
              <w:rPr>
                <w:strike/>
              </w:rPr>
            </w:pPr>
            <w:r w:rsidRPr="004C65D7">
              <w:rPr>
                <w:strike/>
                <w:noProof/>
                <w:lang w:val="de-DE" w:eastAsia="de-DE"/>
              </w:rPr>
              <w:t>For a = see Table 1</w:t>
            </w:r>
          </w:p>
        </w:tc>
      </w:tr>
      <w:tr w:rsidR="007A6432" w:rsidRPr="001A1A61" w14:paraId="4B81D3BC" w14:textId="77777777" w:rsidTr="007A6432">
        <w:tc>
          <w:tcPr>
            <w:tcW w:w="4123" w:type="dxa"/>
          </w:tcPr>
          <w:p w14:paraId="5EDCCBC6" w14:textId="00953BD3" w:rsidR="007A6432" w:rsidRPr="001A1A61" w:rsidRDefault="007A6432" w:rsidP="008E47A6">
            <w:pPr>
              <w:pStyle w:val="SingleTxtG"/>
              <w:spacing w:before="120"/>
              <w:ind w:left="0" w:right="0"/>
              <w:jc w:val="center"/>
            </w:pPr>
            <w:r>
              <w:t>…</w:t>
            </w:r>
          </w:p>
        </w:tc>
        <w:tc>
          <w:tcPr>
            <w:tcW w:w="3915" w:type="dxa"/>
            <w:vAlign w:val="center"/>
          </w:tcPr>
          <w:p w14:paraId="3F917D54" w14:textId="0C437452" w:rsidR="007A6432" w:rsidRPr="001A1A61" w:rsidRDefault="007A6432" w:rsidP="008E47A6">
            <w:pPr>
              <w:pStyle w:val="SingleTxtG"/>
              <w:spacing w:before="120"/>
              <w:ind w:left="113" w:right="113"/>
              <w:jc w:val="left"/>
            </w:pPr>
          </w:p>
        </w:tc>
      </w:tr>
    </w:tbl>
    <w:p w14:paraId="41156845" w14:textId="03D9E941" w:rsidR="007A6432" w:rsidRPr="00504C94" w:rsidRDefault="007A6432" w:rsidP="007A6432">
      <w:pPr>
        <w:jc w:val="center"/>
        <w:rPr>
          <w:b/>
          <w:bCs/>
          <w:sz w:val="21"/>
          <w:szCs w:val="21"/>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7A6432" w14:paraId="5ACB55DB" w14:textId="77777777" w:rsidTr="008E47A6">
        <w:tc>
          <w:tcPr>
            <w:tcW w:w="8080" w:type="dxa"/>
          </w:tcPr>
          <w:p w14:paraId="6D4DE69F" w14:textId="77777777" w:rsidR="007A6432" w:rsidRDefault="007A6432" w:rsidP="008E47A6">
            <w:pPr>
              <w:pStyle w:val="SingleTxtG"/>
              <w:spacing w:before="120"/>
              <w:ind w:left="113" w:right="113"/>
            </w:pPr>
            <w:r w:rsidRPr="001A1A61">
              <w:rPr>
                <w:i/>
              </w:rPr>
              <w:t>Note</w:t>
            </w:r>
            <w:r w:rsidRPr="001A1A61">
              <w:t xml:space="preserve">: </w:t>
            </w:r>
            <w:r w:rsidRPr="001A1A61">
              <w:tab/>
              <w:t xml:space="preserve">The above approval number </w:t>
            </w:r>
            <w:r w:rsidRPr="00086B5C">
              <w:rPr>
                <w:b/>
                <w:bCs/>
              </w:rPr>
              <w:t xml:space="preserve">and the group of symbols indicating the class </w:t>
            </w:r>
            <w:r w:rsidRPr="001A1A61">
              <w:t xml:space="preserve">must be placed close to, but in any position in relation to, the circle surrounding the letter "E". The digits constituting the approval number must face the same way as the "E". </w:t>
            </w:r>
            <w:r w:rsidRPr="00504C94">
              <w:rPr>
                <w:strike/>
              </w:rPr>
              <w:t>The group of symbols indicating the class must be diametrically opposite the approval number.</w:t>
            </w:r>
            <w:r w:rsidRPr="001A1A61">
              <w:t xml:space="preserve"> The Type Approval Authorities shall avoid using approval numbers IA, IB, IIIA, IIIB and IVA which might be confused with the class symbols IA, IB, IIIA, IIIB and IVA.</w:t>
            </w:r>
          </w:p>
          <w:p w14:paraId="60954D82" w14:textId="77777777" w:rsidR="007A6432" w:rsidRDefault="007A6432" w:rsidP="008E47A6">
            <w:pPr>
              <w:pStyle w:val="SingleTxtG"/>
              <w:spacing w:before="120"/>
              <w:ind w:left="113" w:right="113"/>
            </w:pPr>
            <w:r w:rsidRPr="001A1A61">
              <w:t>These sketches show various possible arrangements and are given as examples only.</w:t>
            </w:r>
            <w:r>
              <w:t>”</w:t>
            </w:r>
          </w:p>
        </w:tc>
      </w:tr>
    </w:tbl>
    <w:p w14:paraId="419812E5" w14:textId="0E8A16B1" w:rsidR="007D5CD1" w:rsidRDefault="00746A41">
      <w:pPr>
        <w:pStyle w:val="HChG"/>
      </w:pPr>
      <w:r>
        <w:tab/>
        <w:t>II.</w:t>
      </w:r>
      <w:r>
        <w:tab/>
        <w:t>Justification</w:t>
      </w:r>
    </w:p>
    <w:p w14:paraId="09EC41AD" w14:textId="5C07C9D9" w:rsidR="005278CA" w:rsidRDefault="000B320C" w:rsidP="00C25DAE">
      <w:pPr>
        <w:pStyle w:val="ListParagraph"/>
        <w:spacing w:after="120"/>
        <w:ind w:left="1134" w:right="1134" w:firstLine="567"/>
        <w:jc w:val="both"/>
      </w:pPr>
      <w:r w:rsidRPr="000B320C">
        <w:t xml:space="preserve">The proposed </w:t>
      </w:r>
      <w:r w:rsidR="00374AB6">
        <w:t>amendment</w:t>
      </w:r>
      <w:r w:rsidR="00374AB6" w:rsidRPr="000B320C">
        <w:t xml:space="preserve"> </w:t>
      </w:r>
      <w:r w:rsidR="0042154B">
        <w:t xml:space="preserve">is </w:t>
      </w:r>
      <w:r w:rsidRPr="000B320C">
        <w:t xml:space="preserve">intended to </w:t>
      </w:r>
      <w:r w:rsidR="004C65D7">
        <w:t>a</w:t>
      </w:r>
      <w:r w:rsidR="004C65D7" w:rsidRPr="007A6432">
        <w:t>lign the marking location requirement</w:t>
      </w:r>
      <w:r w:rsidR="004C65D7">
        <w:t>s with those of UN Regulation No. 148</w:t>
      </w:r>
      <w:r w:rsidRPr="000B320C">
        <w:t xml:space="preserve">. Further details can be found in informal document </w:t>
      </w:r>
      <w:r w:rsidRPr="00ED1752">
        <w:t>GRE-94-</w:t>
      </w:r>
      <w:r w:rsidR="00ED1752" w:rsidRPr="00ED1752">
        <w:t>11</w:t>
      </w:r>
      <w:r w:rsidRPr="00ED1752">
        <w:t>.</w:t>
      </w:r>
    </w:p>
    <w:p w14:paraId="7EF62587" w14:textId="4E265912" w:rsidR="00C25DAE" w:rsidRPr="00D63DC3" w:rsidRDefault="00D63DC3" w:rsidP="00D63DC3">
      <w:pPr>
        <w:spacing w:before="240"/>
        <w:jc w:val="center"/>
        <w:rPr>
          <w:u w:val="single"/>
        </w:rPr>
      </w:pPr>
      <w:r>
        <w:rPr>
          <w:u w:val="single"/>
        </w:rPr>
        <w:tab/>
      </w:r>
      <w:r>
        <w:rPr>
          <w:u w:val="single"/>
        </w:rPr>
        <w:tab/>
      </w:r>
      <w:r>
        <w:rPr>
          <w:u w:val="single"/>
        </w:rPr>
        <w:tab/>
      </w:r>
    </w:p>
    <w:sectPr w:rsidR="00C25DAE" w:rsidRPr="00D63DC3" w:rsidSect="00FA37D8">
      <w:headerReference w:type="even" r:id="rId18"/>
      <w:headerReference w:type="default" r:id="rId19"/>
      <w:footerReference w:type="default" r:id="rId20"/>
      <w:headerReference w:type="first" r:id="rId21"/>
      <w:endnotePr>
        <w:numFmt w:val="decimal"/>
      </w:endnotePr>
      <w:pgSz w:w="11906" w:h="16838" w:code="9"/>
      <w:pgMar w:top="1418" w:right="1134" w:bottom="2268"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50CE" w14:textId="77777777" w:rsidR="00172F83" w:rsidRDefault="00172F83"/>
  </w:endnote>
  <w:endnote w:type="continuationSeparator" w:id="0">
    <w:p w14:paraId="3A4184A3" w14:textId="77777777" w:rsidR="00172F83" w:rsidRDefault="00172F83"/>
  </w:endnote>
  <w:endnote w:type="continuationNotice" w:id="1">
    <w:p w14:paraId="1722641B" w14:textId="77777777" w:rsidR="00172F83" w:rsidRDefault="00172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3AEA" w14:textId="77777777" w:rsidR="007D5CD1" w:rsidRDefault="00746A41">
    <w:pPr>
      <w:pStyle w:val="Footer"/>
    </w:pPr>
    <w:r>
      <w:rPr>
        <w:b/>
        <w:sz w:val="18"/>
      </w:rPr>
      <w:fldChar w:fldCharType="begin"/>
    </w:r>
    <w:r>
      <w:rPr>
        <w:b/>
        <w:sz w:val="18"/>
      </w:rPr>
      <w:instrText xml:space="preserve"> PAGE  \* MERGEFORMAT </w:instrText>
    </w:r>
    <w:r>
      <w:rPr>
        <w:b/>
        <w:sz w:val="18"/>
      </w:rPr>
      <w:fldChar w:fldCharType="separate"/>
    </w:r>
    <w:r>
      <w:rPr>
        <w:b/>
        <w:noProof/>
        <w:sz w:val="18"/>
      </w:rPr>
      <w:t>2</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18E9" w14:textId="43BD626D" w:rsidR="003233E3" w:rsidRDefault="003233E3" w:rsidP="003233E3">
    <w:pPr>
      <w:pStyle w:val="Footer"/>
    </w:pPr>
    <w:r w:rsidRPr="0027112F">
      <w:rPr>
        <w:noProof/>
        <w:lang w:val="en-US"/>
      </w:rPr>
      <w:drawing>
        <wp:anchor distT="0" distB="0" distL="114300" distR="114300" simplePos="0" relativeHeight="251659264" behindDoc="0" locked="1" layoutInCell="1" allowOverlap="1" wp14:anchorId="5375BBA6" wp14:editId="66ACB72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550057A" w14:textId="7FB56C3E" w:rsidR="003233E3" w:rsidRPr="003233E3" w:rsidRDefault="003233E3" w:rsidP="003233E3">
    <w:pPr>
      <w:pStyle w:val="Footer"/>
      <w:ind w:right="1134"/>
      <w:rPr>
        <w:sz w:val="20"/>
      </w:rPr>
    </w:pPr>
    <w:r>
      <w:rPr>
        <w:sz w:val="20"/>
      </w:rPr>
      <w:t>GE.26-</w:t>
    </w:r>
    <w:proofErr w:type="gramStart"/>
    <w:r>
      <w:rPr>
        <w:sz w:val="20"/>
      </w:rPr>
      <w:t>01596  (</w:t>
    </w:r>
    <w:proofErr w:type="gramEnd"/>
    <w:r>
      <w:rPr>
        <w:sz w:val="20"/>
      </w:rPr>
      <w:t>E)</w:t>
    </w:r>
    <w:r>
      <w:rPr>
        <w:noProof/>
        <w:sz w:val="20"/>
      </w:rPr>
      <w:drawing>
        <wp:anchor distT="0" distB="0" distL="114300" distR="114300" simplePos="0" relativeHeight="251660288" behindDoc="0" locked="0" layoutInCell="1" allowOverlap="1" wp14:anchorId="325A82A6" wp14:editId="07B11293">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FB57" w14:textId="77777777" w:rsidR="007D5CD1" w:rsidRDefault="007D5CD1">
    <w:pPr>
      <w:rPr>
        <w:rFonts w:ascii="Arial" w:hAnsi="Arial" w:cs="Arial"/>
        <w:sz w:val="16"/>
        <w:szCs w:val="16"/>
      </w:rPr>
    </w:pPr>
  </w:p>
  <w:tbl>
    <w:tblPr>
      <w:tblW w:w="0" w:type="auto"/>
      <w:tblLook w:val="04A0" w:firstRow="1" w:lastRow="0" w:firstColumn="1" w:lastColumn="0" w:noHBand="0" w:noVBand="1"/>
    </w:tblPr>
    <w:tblGrid>
      <w:gridCol w:w="3270"/>
      <w:gridCol w:w="3171"/>
      <w:gridCol w:w="3197"/>
    </w:tblGrid>
    <w:tr w:rsidR="007D5CD1" w14:paraId="0CDA5092" w14:textId="77777777">
      <w:tc>
        <w:tcPr>
          <w:tcW w:w="3346" w:type="dxa"/>
        </w:tcPr>
        <w:p w14:paraId="2994DD66" w14:textId="77777777" w:rsidR="007D5CD1" w:rsidRDefault="00746A41">
          <w:pPr>
            <w:pStyle w:val="Footer"/>
          </w:pPr>
          <w:r>
            <w:rPr>
              <w:noProof/>
              <w:lang w:val="de-DE" w:eastAsia="de-DE"/>
            </w:rPr>
            <w:drawing>
              <wp:inline distT="0" distB="0" distL="0" distR="0" wp14:anchorId="6F81C82E" wp14:editId="60E98545">
                <wp:extent cx="1267460" cy="498475"/>
                <wp:effectExtent l="0" t="0" r="8890" b="0"/>
                <wp:docPr id="15" name="Picture 15" descr="GTB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GTB 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498475"/>
                        </a:xfrm>
                        <a:prstGeom prst="rect">
                          <a:avLst/>
                        </a:prstGeom>
                        <a:noFill/>
                        <a:ln>
                          <a:noFill/>
                        </a:ln>
                      </pic:spPr>
                    </pic:pic>
                  </a:graphicData>
                </a:graphic>
              </wp:inline>
            </w:drawing>
          </w:r>
        </w:p>
      </w:tc>
      <w:tc>
        <w:tcPr>
          <w:tcW w:w="3347" w:type="dxa"/>
          <w:vAlign w:val="center"/>
        </w:tcPr>
        <w:p w14:paraId="4EFE4CA6" w14:textId="77777777" w:rsidR="007D5CD1" w:rsidRDefault="00746A41">
          <w:pPr>
            <w:pStyle w:val="Footer"/>
            <w:rPr>
              <w:rFonts w:ascii="Arial" w:hAnsi="Arial" w:cs="Arial"/>
              <w:sz w:val="20"/>
            </w:rPr>
          </w:pPr>
          <w:r>
            <w:rPr>
              <w:rFonts w:ascii="Arial" w:hAnsi="Arial" w:cs="Arial"/>
              <w:sz w:val="20"/>
            </w:rPr>
            <w:t>Date: 2014-xx-xx</w:t>
          </w:r>
        </w:p>
      </w:tc>
      <w:tc>
        <w:tcPr>
          <w:tcW w:w="3347" w:type="dxa"/>
          <w:vAlign w:val="center"/>
        </w:tcPr>
        <w:p w14:paraId="0CCF6ECC" w14:textId="77777777" w:rsidR="007D5CD1" w:rsidRDefault="00746A41">
          <w:pPr>
            <w:pStyle w:val="Footer"/>
          </w:pPr>
          <w:r>
            <w:rPr>
              <w:rFonts w:ascii="Arial" w:hAnsi="Arial" w:cs="Arial"/>
              <w:sz w:val="20"/>
            </w:rPr>
            <w:t>Submitted by: Ad de Visser</w:t>
          </w:r>
        </w:p>
      </w:tc>
    </w:tr>
  </w:tbl>
  <w:p w14:paraId="2E5196F4" w14:textId="77777777" w:rsidR="007D5CD1" w:rsidRDefault="007D5C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3CEC" w14:textId="77777777" w:rsidR="007D5CD1" w:rsidRDefault="00746A41">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Pr>
        <w:b/>
        <w:noProof/>
        <w:sz w:val="18"/>
      </w:rPr>
      <w:t>5</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2748" w14:textId="77777777" w:rsidR="00172F83" w:rsidRDefault="00172F83">
      <w:pPr>
        <w:tabs>
          <w:tab w:val="right" w:pos="2155"/>
        </w:tabs>
        <w:spacing w:after="80"/>
        <w:ind w:left="680"/>
        <w:rPr>
          <w:u w:val="single"/>
        </w:rPr>
      </w:pPr>
      <w:r>
        <w:rPr>
          <w:u w:val="single"/>
        </w:rPr>
        <w:tab/>
      </w:r>
    </w:p>
  </w:footnote>
  <w:footnote w:type="continuationSeparator" w:id="0">
    <w:p w14:paraId="1C943CA1" w14:textId="77777777" w:rsidR="00172F83" w:rsidRDefault="00172F83">
      <w:pPr>
        <w:tabs>
          <w:tab w:val="left" w:pos="2155"/>
        </w:tabs>
        <w:spacing w:after="80"/>
        <w:ind w:left="680"/>
        <w:rPr>
          <w:u w:val="single"/>
        </w:rPr>
      </w:pPr>
      <w:r>
        <w:rPr>
          <w:u w:val="single"/>
        </w:rPr>
        <w:tab/>
      </w:r>
    </w:p>
  </w:footnote>
  <w:footnote w:type="continuationNotice" w:id="1">
    <w:p w14:paraId="16FD7117" w14:textId="77777777" w:rsidR="00172F83" w:rsidRDefault="00172F83"/>
  </w:footnote>
  <w:footnote w:id="2">
    <w:p w14:paraId="79AA8BF1" w14:textId="2CA1B25A" w:rsidR="007D5CD1" w:rsidRPr="00FC151A" w:rsidRDefault="00746A41">
      <w:pPr>
        <w:pStyle w:val="FootnoteText"/>
        <w:rPr>
          <w:sz w:val="16"/>
          <w:szCs w:val="18"/>
        </w:rPr>
      </w:pPr>
      <w:r>
        <w:tab/>
      </w:r>
      <w:r w:rsidR="00FC151A" w:rsidRPr="00FC151A">
        <w:rPr>
          <w:rStyle w:val="FootnoteReference"/>
          <w:szCs w:val="18"/>
          <w:vertAlign w:val="baseline"/>
          <w:lang w:val="en-US"/>
        </w:rPr>
        <w:t>*</w:t>
      </w:r>
      <w:r w:rsidR="00FC151A" w:rsidRPr="00FC151A">
        <w:rPr>
          <w:rStyle w:val="FootnoteReference"/>
          <w:szCs w:val="18"/>
          <w:vertAlign w:val="baseline"/>
          <w:lang w:val="en-US"/>
        </w:rPr>
        <w:tab/>
      </w:r>
      <w:r w:rsidR="00146937" w:rsidRPr="00146937">
        <w:rPr>
          <w:szCs w:val="18"/>
        </w:rPr>
        <w:t xml:space="preserve">In accordance with the programme of work of the Inland Transport Committee for 2026 as outlined in proposed programme budget for 2026 (A/80/6 (Sect. 20), table 20.7), the World Forum will develop, harmonize and update UN Regulations </w:t>
      </w:r>
      <w:proofErr w:type="gramStart"/>
      <w:r w:rsidR="00146937" w:rsidRPr="00146937">
        <w:rPr>
          <w:szCs w:val="18"/>
        </w:rPr>
        <w:t>in order to</w:t>
      </w:r>
      <w:proofErr w:type="gramEnd"/>
      <w:r w:rsidR="00146937" w:rsidRPr="00146937">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95D5" w14:textId="77777777" w:rsidR="004170C0" w:rsidRDefault="004170C0" w:rsidP="004170C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413A2E0F" w:rsidR="007D5CD1" w:rsidRDefault="00746A41">
    <w:pPr>
      <w:pStyle w:val="Header"/>
    </w:pPr>
    <w:r>
      <w:t>ECE/TRANS/WP.29/GRE/202</w:t>
    </w:r>
    <w:r w:rsidR="00FC151A">
      <w:t>6</w:t>
    </w:r>
    <w:r>
      <w:t>/</w:t>
    </w:r>
    <w:r w:rsidR="00ED1752">
      <w:t>1</w:t>
    </w:r>
    <w:r w:rsidR="004170C0">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5FB3DF4E" w:rsidR="007D5CD1" w:rsidRDefault="00746A41">
    <w:pPr>
      <w:pStyle w:val="Header"/>
      <w:jc w:val="right"/>
    </w:pPr>
    <w:r>
      <w:t>ECE/TRANS/WP.29/GRE/202</w:t>
    </w:r>
    <w:r w:rsidR="00FC151A">
      <w:t>6</w:t>
    </w:r>
    <w:r>
      <w:t>/</w:t>
    </w:r>
    <w:r w:rsidR="00ED1752">
      <w:t>1</w:t>
    </w:r>
    <w:r w:rsidR="004170C0">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746A41">
    <w:pPr>
      <w:pStyle w:val="Header"/>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5" w15:restartNumberingAfterBreak="0">
    <w:nsid w:val="256B31CC"/>
    <w:multiLevelType w:val="hybridMultilevel"/>
    <w:tmpl w:val="4A86579C"/>
    <w:lvl w:ilvl="0" w:tplc="1F7AE5C4">
      <w:start w:val="1"/>
      <w:numFmt w:val="lowerLetter"/>
      <w:lvlText w:val="(%1)"/>
      <w:lvlJc w:val="left"/>
      <w:pPr>
        <w:ind w:left="2634" w:hanging="360"/>
      </w:pPr>
      <w:rPr>
        <w:rFonts w:hint="default"/>
      </w:rPr>
    </w:lvl>
    <w:lvl w:ilvl="1" w:tplc="04070019">
      <w:start w:val="1"/>
      <w:numFmt w:val="lowerLetter"/>
      <w:lvlText w:val="%2."/>
      <w:lvlJc w:val="left"/>
      <w:pPr>
        <w:ind w:left="3354" w:hanging="360"/>
      </w:pPr>
    </w:lvl>
    <w:lvl w:ilvl="2" w:tplc="0407001B" w:tentative="1">
      <w:start w:val="1"/>
      <w:numFmt w:val="lowerRoman"/>
      <w:lvlText w:val="%3."/>
      <w:lvlJc w:val="right"/>
      <w:pPr>
        <w:ind w:left="4074" w:hanging="180"/>
      </w:pPr>
    </w:lvl>
    <w:lvl w:ilvl="3" w:tplc="0407000F" w:tentative="1">
      <w:start w:val="1"/>
      <w:numFmt w:val="decimal"/>
      <w:lvlText w:val="%4."/>
      <w:lvlJc w:val="left"/>
      <w:pPr>
        <w:ind w:left="4794" w:hanging="360"/>
      </w:pPr>
    </w:lvl>
    <w:lvl w:ilvl="4" w:tplc="04070019" w:tentative="1">
      <w:start w:val="1"/>
      <w:numFmt w:val="lowerLetter"/>
      <w:lvlText w:val="%5."/>
      <w:lvlJc w:val="left"/>
      <w:pPr>
        <w:ind w:left="5514" w:hanging="360"/>
      </w:pPr>
    </w:lvl>
    <w:lvl w:ilvl="5" w:tplc="0407001B" w:tentative="1">
      <w:start w:val="1"/>
      <w:numFmt w:val="lowerRoman"/>
      <w:lvlText w:val="%6."/>
      <w:lvlJc w:val="right"/>
      <w:pPr>
        <w:ind w:left="6234" w:hanging="180"/>
      </w:pPr>
    </w:lvl>
    <w:lvl w:ilvl="6" w:tplc="0407000F" w:tentative="1">
      <w:start w:val="1"/>
      <w:numFmt w:val="decimal"/>
      <w:lvlText w:val="%7."/>
      <w:lvlJc w:val="left"/>
      <w:pPr>
        <w:ind w:left="6954" w:hanging="360"/>
      </w:pPr>
    </w:lvl>
    <w:lvl w:ilvl="7" w:tplc="04070019" w:tentative="1">
      <w:start w:val="1"/>
      <w:numFmt w:val="lowerLetter"/>
      <w:lvlText w:val="%8."/>
      <w:lvlJc w:val="left"/>
      <w:pPr>
        <w:ind w:left="7674" w:hanging="360"/>
      </w:pPr>
    </w:lvl>
    <w:lvl w:ilvl="8" w:tplc="0407001B" w:tentative="1">
      <w:start w:val="1"/>
      <w:numFmt w:val="lowerRoman"/>
      <w:lvlText w:val="%9."/>
      <w:lvlJc w:val="right"/>
      <w:pPr>
        <w:ind w:left="8394" w:hanging="180"/>
      </w:pPr>
    </w:lvl>
  </w:abstractNum>
  <w:abstractNum w:abstractNumId="6"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11"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33572"/>
    <w:multiLevelType w:val="hybridMultilevel"/>
    <w:tmpl w:val="D0E6B9BA"/>
    <w:lvl w:ilvl="0" w:tplc="3B42BEC2">
      <w:start w:val="1"/>
      <w:numFmt w:val="decimal"/>
      <w:lvlText w:val="%1."/>
      <w:lvlJc w:val="left"/>
      <w:pPr>
        <w:ind w:left="1710" w:hanging="576"/>
      </w:pPr>
      <w:rPr>
        <w:rFonts w:hint="default"/>
      </w:rPr>
    </w:lvl>
    <w:lvl w:ilvl="1" w:tplc="041D0019">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6"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00332165">
    <w:abstractNumId w:val="1"/>
  </w:num>
  <w:num w:numId="2" w16cid:durableId="841971361">
    <w:abstractNumId w:val="14"/>
  </w:num>
  <w:num w:numId="3" w16cid:durableId="1876891138">
    <w:abstractNumId w:val="10"/>
  </w:num>
  <w:num w:numId="4" w16cid:durableId="1051269458">
    <w:abstractNumId w:val="12"/>
  </w:num>
  <w:num w:numId="5" w16cid:durableId="1909342700">
    <w:abstractNumId w:val="13"/>
  </w:num>
  <w:num w:numId="6" w16cid:durableId="1420523150">
    <w:abstractNumId w:val="3"/>
  </w:num>
  <w:num w:numId="7" w16cid:durableId="1831435083">
    <w:abstractNumId w:val="2"/>
  </w:num>
  <w:num w:numId="8" w16cid:durableId="900991185">
    <w:abstractNumId w:val="11"/>
  </w:num>
  <w:num w:numId="9" w16cid:durableId="560865110">
    <w:abstractNumId w:val="8"/>
  </w:num>
  <w:num w:numId="10" w16cid:durableId="267272274">
    <w:abstractNumId w:val="9"/>
  </w:num>
  <w:num w:numId="11" w16cid:durableId="1196043688">
    <w:abstractNumId w:val="7"/>
  </w:num>
  <w:num w:numId="12" w16cid:durableId="510877766">
    <w:abstractNumId w:val="0"/>
  </w:num>
  <w:num w:numId="13" w16cid:durableId="512232110">
    <w:abstractNumId w:val="16"/>
  </w:num>
  <w:num w:numId="14" w16cid:durableId="747926297">
    <w:abstractNumId w:val="6"/>
  </w:num>
  <w:num w:numId="15" w16cid:durableId="528297203">
    <w:abstractNumId w:val="5"/>
  </w:num>
  <w:num w:numId="16" w16cid:durableId="1199204801">
    <w:abstractNumId w:val="15"/>
  </w:num>
  <w:num w:numId="17" w16cid:durableId="821653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53650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00121D"/>
    <w:rsid w:val="000066E4"/>
    <w:rsid w:val="00007B75"/>
    <w:rsid w:val="000305CF"/>
    <w:rsid w:val="0006173C"/>
    <w:rsid w:val="000646CB"/>
    <w:rsid w:val="0009054D"/>
    <w:rsid w:val="000B320C"/>
    <w:rsid w:val="000D5F93"/>
    <w:rsid w:val="001112AE"/>
    <w:rsid w:val="00122B00"/>
    <w:rsid w:val="001379A8"/>
    <w:rsid w:val="00146937"/>
    <w:rsid w:val="00156BD1"/>
    <w:rsid w:val="001600CF"/>
    <w:rsid w:val="00163D51"/>
    <w:rsid w:val="00172F83"/>
    <w:rsid w:val="00187B83"/>
    <w:rsid w:val="001F7280"/>
    <w:rsid w:val="002303F4"/>
    <w:rsid w:val="0023739D"/>
    <w:rsid w:val="0024428C"/>
    <w:rsid w:val="00250617"/>
    <w:rsid w:val="0027199A"/>
    <w:rsid w:val="00275E5C"/>
    <w:rsid w:val="002C02B3"/>
    <w:rsid w:val="002E07D8"/>
    <w:rsid w:val="002F2786"/>
    <w:rsid w:val="003032FD"/>
    <w:rsid w:val="00304A17"/>
    <w:rsid w:val="003233E3"/>
    <w:rsid w:val="003331FC"/>
    <w:rsid w:val="0033567F"/>
    <w:rsid w:val="00374AB6"/>
    <w:rsid w:val="003772E3"/>
    <w:rsid w:val="003B29A6"/>
    <w:rsid w:val="00407BDB"/>
    <w:rsid w:val="00412237"/>
    <w:rsid w:val="004170C0"/>
    <w:rsid w:val="00417C5D"/>
    <w:rsid w:val="0042154B"/>
    <w:rsid w:val="00457039"/>
    <w:rsid w:val="0047224D"/>
    <w:rsid w:val="00484617"/>
    <w:rsid w:val="00497CB3"/>
    <w:rsid w:val="004A4366"/>
    <w:rsid w:val="004A6AFE"/>
    <w:rsid w:val="004B2B00"/>
    <w:rsid w:val="004C65D7"/>
    <w:rsid w:val="004D0431"/>
    <w:rsid w:val="004D05EB"/>
    <w:rsid w:val="004D2ABF"/>
    <w:rsid w:val="004D5F91"/>
    <w:rsid w:val="004E620E"/>
    <w:rsid w:val="004E71D1"/>
    <w:rsid w:val="005278CA"/>
    <w:rsid w:val="005347A6"/>
    <w:rsid w:val="005462F4"/>
    <w:rsid w:val="00553B20"/>
    <w:rsid w:val="005625E8"/>
    <w:rsid w:val="005838C8"/>
    <w:rsid w:val="00583C19"/>
    <w:rsid w:val="005945E4"/>
    <w:rsid w:val="005979FA"/>
    <w:rsid w:val="005A5AE8"/>
    <w:rsid w:val="005B751C"/>
    <w:rsid w:val="005C3994"/>
    <w:rsid w:val="006B703B"/>
    <w:rsid w:val="006D06F0"/>
    <w:rsid w:val="006D5F24"/>
    <w:rsid w:val="006F5BE0"/>
    <w:rsid w:val="006F6075"/>
    <w:rsid w:val="00713749"/>
    <w:rsid w:val="00746A41"/>
    <w:rsid w:val="00773199"/>
    <w:rsid w:val="007920D6"/>
    <w:rsid w:val="007A59DE"/>
    <w:rsid w:val="007A6432"/>
    <w:rsid w:val="007D5197"/>
    <w:rsid w:val="007D5CD1"/>
    <w:rsid w:val="008222F6"/>
    <w:rsid w:val="008236CB"/>
    <w:rsid w:val="008238A6"/>
    <w:rsid w:val="00842E9F"/>
    <w:rsid w:val="00857F7B"/>
    <w:rsid w:val="00873CFE"/>
    <w:rsid w:val="00877729"/>
    <w:rsid w:val="00882760"/>
    <w:rsid w:val="0088715C"/>
    <w:rsid w:val="00887273"/>
    <w:rsid w:val="008960CA"/>
    <w:rsid w:val="008C4D5D"/>
    <w:rsid w:val="008F07A6"/>
    <w:rsid w:val="009066EB"/>
    <w:rsid w:val="00911A31"/>
    <w:rsid w:val="0092645E"/>
    <w:rsid w:val="009537F2"/>
    <w:rsid w:val="00974441"/>
    <w:rsid w:val="009775BD"/>
    <w:rsid w:val="009B6458"/>
    <w:rsid w:val="009D563A"/>
    <w:rsid w:val="009D56CD"/>
    <w:rsid w:val="009E0E5C"/>
    <w:rsid w:val="009E3E20"/>
    <w:rsid w:val="009E4C1A"/>
    <w:rsid w:val="009F01AC"/>
    <w:rsid w:val="00A23770"/>
    <w:rsid w:val="00A33E4F"/>
    <w:rsid w:val="00A4180F"/>
    <w:rsid w:val="00A538A7"/>
    <w:rsid w:val="00A6421B"/>
    <w:rsid w:val="00A64745"/>
    <w:rsid w:val="00A7466E"/>
    <w:rsid w:val="00A86C1C"/>
    <w:rsid w:val="00A939D1"/>
    <w:rsid w:val="00A95F51"/>
    <w:rsid w:val="00AB4FFB"/>
    <w:rsid w:val="00AF0078"/>
    <w:rsid w:val="00B115EF"/>
    <w:rsid w:val="00B151CF"/>
    <w:rsid w:val="00B1674F"/>
    <w:rsid w:val="00B367D1"/>
    <w:rsid w:val="00B96B92"/>
    <w:rsid w:val="00BD3232"/>
    <w:rsid w:val="00BE5D73"/>
    <w:rsid w:val="00C25DAE"/>
    <w:rsid w:val="00C47123"/>
    <w:rsid w:val="00C76B53"/>
    <w:rsid w:val="00C849A8"/>
    <w:rsid w:val="00C92713"/>
    <w:rsid w:val="00CA42EC"/>
    <w:rsid w:val="00CD26B1"/>
    <w:rsid w:val="00CF3DC9"/>
    <w:rsid w:val="00D03639"/>
    <w:rsid w:val="00D15CCF"/>
    <w:rsid w:val="00D479F7"/>
    <w:rsid w:val="00D52B84"/>
    <w:rsid w:val="00D56068"/>
    <w:rsid w:val="00D63DC3"/>
    <w:rsid w:val="00D70512"/>
    <w:rsid w:val="00DA14B0"/>
    <w:rsid w:val="00DC502C"/>
    <w:rsid w:val="00DC6301"/>
    <w:rsid w:val="00DE1DA3"/>
    <w:rsid w:val="00DE2B84"/>
    <w:rsid w:val="00DF207B"/>
    <w:rsid w:val="00E30F93"/>
    <w:rsid w:val="00E34D1F"/>
    <w:rsid w:val="00E35877"/>
    <w:rsid w:val="00E42F84"/>
    <w:rsid w:val="00E55B09"/>
    <w:rsid w:val="00E650D1"/>
    <w:rsid w:val="00EA0555"/>
    <w:rsid w:val="00EB01FD"/>
    <w:rsid w:val="00EC0C54"/>
    <w:rsid w:val="00ED1752"/>
    <w:rsid w:val="00EE6E78"/>
    <w:rsid w:val="00F07C1C"/>
    <w:rsid w:val="00F41DD2"/>
    <w:rsid w:val="00F7414C"/>
    <w:rsid w:val="00F756B7"/>
    <w:rsid w:val="00F83F2A"/>
    <w:rsid w:val="00F9233A"/>
    <w:rsid w:val="00F935F9"/>
    <w:rsid w:val="00FA1907"/>
    <w:rsid w:val="00FA277D"/>
    <w:rsid w:val="00FA37D8"/>
    <w:rsid w:val="00FA5B08"/>
    <w:rsid w:val="00FC151A"/>
    <w:rsid w:val="00FC75CA"/>
    <w:rsid w:val="00FC767E"/>
    <w:rsid w:val="00FC7C05"/>
    <w:rsid w:val="00FD3106"/>
    <w:rsid w:val="00FE21FE"/>
    <w:rsid w:val="00FE60F6"/>
    <w:rsid w:val="00FF6D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40" w:lineRule="atLeast"/>
    </w:pPr>
    <w:rPr>
      <w:lang w:eastAsia="en-US"/>
    </w:rPr>
  </w:style>
  <w:style w:type="paragraph" w:styleId="Heading1">
    <w:name w:val="heading 1"/>
    <w:aliases w:val="Table_G,Heading 1*"/>
    <w:basedOn w:val="SingleTxtG"/>
    <w:next w:val="SingleTxtG"/>
    <w:link w:val="Heading1Char"/>
    <w:qFormat/>
    <w:pPr>
      <w:spacing w:after="0" w:line="240" w:lineRule="auto"/>
      <w:ind w:left="0" w:right="0"/>
      <w:jc w:val="left"/>
      <w:outlineLvl w:val="0"/>
    </w:pPr>
  </w:style>
  <w:style w:type="paragraph" w:styleId="Heading2">
    <w:name w:val="heading 2"/>
    <w:aliases w:val="H2"/>
    <w:basedOn w:val="Normal"/>
    <w:next w:val="Normal"/>
    <w:link w:val="Heading2Char"/>
    <w:qFormat/>
    <w:pPr>
      <w:numPr>
        <w:ilvl w:val="1"/>
        <w:numId w:val="5"/>
      </w:numPr>
      <w:spacing w:line="240" w:lineRule="auto"/>
      <w:outlineLvl w:val="1"/>
    </w:pPr>
  </w:style>
  <w:style w:type="paragraph" w:styleId="Heading3">
    <w:name w:val="heading 3"/>
    <w:basedOn w:val="Normal"/>
    <w:next w:val="Normal"/>
    <w:link w:val="Heading3Char"/>
    <w:qFormat/>
    <w:pPr>
      <w:numPr>
        <w:ilvl w:val="2"/>
        <w:numId w:val="5"/>
      </w:numPr>
      <w:spacing w:line="240" w:lineRule="auto"/>
      <w:outlineLvl w:val="2"/>
    </w:pPr>
  </w:style>
  <w:style w:type="paragraph" w:styleId="Heading4">
    <w:name w:val="heading 4"/>
    <w:basedOn w:val="Normal"/>
    <w:next w:val="Normal"/>
    <w:link w:val="Heading4Char"/>
    <w:qFormat/>
    <w:pPr>
      <w:numPr>
        <w:ilvl w:val="3"/>
        <w:numId w:val="5"/>
      </w:numPr>
      <w:spacing w:line="240" w:lineRule="auto"/>
      <w:outlineLvl w:val="3"/>
    </w:pPr>
  </w:style>
  <w:style w:type="paragraph" w:styleId="Heading5">
    <w:name w:val="heading 5"/>
    <w:basedOn w:val="Normal"/>
    <w:next w:val="Normal"/>
    <w:link w:val="Heading5Char"/>
    <w:qFormat/>
    <w:pPr>
      <w:numPr>
        <w:ilvl w:val="4"/>
        <w:numId w:val="5"/>
      </w:numPr>
      <w:spacing w:line="240" w:lineRule="auto"/>
      <w:outlineLvl w:val="4"/>
    </w:pPr>
  </w:style>
  <w:style w:type="paragraph" w:styleId="Heading6">
    <w:name w:val="heading 6"/>
    <w:basedOn w:val="Normal"/>
    <w:next w:val="Normal"/>
    <w:link w:val="Heading6Char"/>
    <w:qFormat/>
    <w:pPr>
      <w:numPr>
        <w:ilvl w:val="5"/>
        <w:numId w:val="5"/>
      </w:numPr>
      <w:spacing w:line="240" w:lineRule="auto"/>
      <w:outlineLvl w:val="5"/>
    </w:pPr>
  </w:style>
  <w:style w:type="paragraph" w:styleId="Heading7">
    <w:name w:val="heading 7"/>
    <w:basedOn w:val="Normal"/>
    <w:next w:val="Normal"/>
    <w:link w:val="Heading7Char"/>
    <w:qFormat/>
    <w:pPr>
      <w:numPr>
        <w:ilvl w:val="6"/>
        <w:numId w:val="5"/>
      </w:numPr>
      <w:spacing w:line="240" w:lineRule="auto"/>
      <w:outlineLvl w:val="6"/>
    </w:pPr>
  </w:style>
  <w:style w:type="paragraph" w:styleId="Heading8">
    <w:name w:val="heading 8"/>
    <w:basedOn w:val="Normal"/>
    <w:next w:val="Normal"/>
    <w:link w:val="Heading8Char"/>
    <w:qFormat/>
    <w:pPr>
      <w:numPr>
        <w:ilvl w:val="7"/>
        <w:numId w:val="5"/>
      </w:numPr>
      <w:spacing w:line="240" w:lineRule="auto"/>
      <w:outlineLvl w:val="7"/>
    </w:pPr>
  </w:style>
  <w:style w:type="paragraph" w:styleId="Heading9">
    <w:name w:val="heading 9"/>
    <w:basedOn w:val="Normal"/>
    <w:next w:val="Normal"/>
    <w:link w:val="Heading9Char"/>
    <w:qFormat/>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pPr>
      <w:pBdr>
        <w:bottom w:val="single" w:sz="4" w:space="4" w:color="auto"/>
      </w:pBdr>
      <w:spacing w:line="240" w:lineRule="auto"/>
    </w:pPr>
    <w:rPr>
      <w:b/>
      <w:sz w:val="18"/>
    </w:rPr>
  </w:style>
  <w:style w:type="table" w:styleId="TableGrid">
    <w:name w:val="Table Grid"/>
    <w:basedOn w:val="TableNormal"/>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1"/>
      </w:numPr>
      <w:spacing w:after="120"/>
      <w:ind w:right="1134"/>
      <w:jc w:val="both"/>
    </w:pPr>
  </w:style>
  <w:style w:type="paragraph" w:styleId="Footer">
    <w:name w:val="footer"/>
    <w:aliases w:val="3_G"/>
    <w:basedOn w:val="Normal"/>
    <w:link w:val="FooterChar"/>
    <w:pPr>
      <w:spacing w:line="240" w:lineRule="auto"/>
    </w:pPr>
    <w:rPr>
      <w:sz w:val="16"/>
    </w:rPr>
  </w:style>
  <w:style w:type="paragraph" w:customStyle="1" w:styleId="Bullet2G">
    <w:name w:val="_Bullet 2_G"/>
    <w:basedOn w:val="Normal"/>
    <w:qFormat/>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PlainText">
    <w:name w:val="Plain Text"/>
    <w:basedOn w:val="Normal"/>
    <w:link w:val="PlainTextChar"/>
    <w:semiHidden/>
    <w:pPr>
      <w:suppressAutoHyphens w:val="0"/>
      <w:spacing w:line="240" w:lineRule="auto"/>
    </w:pPr>
    <w:rPr>
      <w:rFonts w:ascii="Courier New" w:hAnsi="Courier New"/>
      <w:snapToGrid w:val="0"/>
      <w:lang w:val="nl-NL"/>
    </w:rPr>
  </w:style>
  <w:style w:type="character" w:styleId="CommentReference">
    <w:name w:val="annotation reference"/>
    <w:uiPriority w:val="99"/>
    <w:qFormat/>
    <w:rPr>
      <w:sz w:val="16"/>
    </w:rPr>
  </w:style>
  <w:style w:type="paragraph" w:styleId="BodyText">
    <w:name w:val="Body Text"/>
    <w:basedOn w:val="Normal"/>
    <w:link w:val="BodyTextChar"/>
    <w:pPr>
      <w:suppressAutoHyphens w:val="0"/>
      <w:spacing w:line="240" w:lineRule="auto"/>
    </w:pPr>
    <w:rPr>
      <w:rFonts w:ascii="Univers" w:hAnsi="Univers"/>
      <w:snapToGrid w:val="0"/>
      <w:sz w:val="16"/>
    </w:rPr>
  </w:style>
  <w:style w:type="paragraph" w:styleId="BodyTextIndent">
    <w:name w:val="Body Text Indent"/>
    <w:basedOn w:val="Normal"/>
    <w:link w:val="BodyTextIndentChar"/>
    <w:pPr>
      <w:widowControl w:val="0"/>
      <w:tabs>
        <w:tab w:val="left" w:pos="2880"/>
      </w:tabs>
      <w:suppressAutoHyphens w:val="0"/>
      <w:spacing w:before="120" w:line="240" w:lineRule="auto"/>
      <w:ind w:left="1701" w:hanging="1701"/>
    </w:pPr>
    <w:rPr>
      <w:rFonts w:ascii="Courier New" w:hAnsi="Courier New"/>
      <w:snapToGrid w:val="0"/>
    </w:rPr>
  </w:style>
  <w:style w:type="paragraph" w:styleId="BodyTextIndent2">
    <w:name w:val="Body Text Indent 2"/>
    <w:basedOn w:val="Normal"/>
    <w:link w:val="BodyTextIndent2Char"/>
    <w:pPr>
      <w:widowControl w:val="0"/>
      <w:tabs>
        <w:tab w:val="left" w:pos="2880"/>
      </w:tabs>
      <w:suppressAutoHyphens w:val="0"/>
      <w:spacing w:line="240" w:lineRule="auto"/>
      <w:ind w:left="1701" w:hanging="1843"/>
    </w:pPr>
    <w:rPr>
      <w:rFonts w:ascii="Courier New" w:hAnsi="Courier New"/>
      <w:snapToGrid w:val="0"/>
    </w:rPr>
  </w:style>
  <w:style w:type="paragraph" w:styleId="BodyTextIndent3">
    <w:name w:val="Body Text Indent 3"/>
    <w:basedOn w:val="Normal"/>
    <w:link w:val="BodyTextIndent3Char"/>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
    <w:semiHidden/>
    <w:pPr>
      <w:suppressAutoHyphens w:val="0"/>
      <w:spacing w:line="240" w:lineRule="auto"/>
      <w:ind w:left="1712" w:hanging="465"/>
    </w:pPr>
    <w:rPr>
      <w:rFonts w:ascii="Univers" w:hAnsi="Univers"/>
      <w:snapToGrid w:val="0"/>
      <w:sz w:val="24"/>
      <w:lang w:val="fr-FR"/>
    </w:rPr>
  </w:style>
  <w:style w:type="paragraph" w:styleId="BlockText">
    <w:name w:val="Block Text"/>
    <w:basedOn w:val="Normal"/>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pPr>
      <w:tabs>
        <w:tab w:val="num" w:pos="360"/>
      </w:tabs>
      <w:suppressAutoHyphens w:val="0"/>
      <w:spacing w:line="240" w:lineRule="auto"/>
      <w:ind w:left="360" w:hanging="360"/>
    </w:pPr>
    <w:rPr>
      <w:sz w:val="24"/>
    </w:rPr>
  </w:style>
  <w:style w:type="paragraph" w:customStyle="1" w:styleId="Styl6">
    <w:name w:val="Styl6"/>
    <w:basedOn w:val="Normal"/>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pPr>
      <w:suppressAutoHyphens w:val="0"/>
      <w:spacing w:line="240" w:lineRule="auto"/>
    </w:pPr>
    <w:rPr>
      <w:rFonts w:ascii="Arial" w:hAnsi="Arial"/>
      <w:sz w:val="22"/>
      <w:lang w:val="de-DE" w:eastAsia="it-IT"/>
    </w:rPr>
  </w:style>
  <w:style w:type="paragraph" w:styleId="BodyText2">
    <w:name w:val="Body Text 2"/>
    <w:basedOn w:val="Normal"/>
    <w:link w:val="BodyText2Char"/>
    <w:pPr>
      <w:suppressAutoHyphens w:val="0"/>
      <w:spacing w:line="240" w:lineRule="auto"/>
      <w:jc w:val="center"/>
    </w:pPr>
    <w:rPr>
      <w:rFonts w:ascii="Univers" w:hAnsi="Univers"/>
      <w:b/>
      <w:caps/>
      <w:sz w:val="24"/>
    </w:rPr>
  </w:style>
  <w:style w:type="paragraph" w:styleId="BodyText3">
    <w:name w:val="Body Text 3"/>
    <w:basedOn w:val="Normal"/>
    <w:link w:val="BodyText3Char"/>
    <w:pPr>
      <w:tabs>
        <w:tab w:val="center" w:pos="4820"/>
        <w:tab w:val="right" w:pos="9356"/>
      </w:tabs>
      <w:suppressAutoHyphens w:val="0"/>
      <w:spacing w:line="240" w:lineRule="auto"/>
      <w:ind w:right="-1"/>
      <w:jc w:val="both"/>
    </w:pPr>
    <w:rPr>
      <w:rFonts w:ascii="Univers" w:hAnsi="Univers"/>
      <w:snapToGrid w:val="0"/>
    </w:rPr>
  </w:style>
  <w:style w:type="paragraph" w:styleId="ListNumber">
    <w:name w:val="List Number"/>
    <w:basedOn w:val="Normal"/>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BodyText"/>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Heading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HeaderChar">
    <w:name w:val="Header Char"/>
    <w:aliases w:val="6_G Char"/>
    <w:link w:val="Header"/>
    <w:rPr>
      <w:b/>
      <w:sz w:val="18"/>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rPr>
      <w:rFonts w:ascii="Tahoma" w:hAnsi="Tahoma" w:cs="Tahoma"/>
      <w:sz w:val="16"/>
      <w:szCs w:val="16"/>
    </w:rPr>
  </w:style>
  <w:style w:type="character" w:customStyle="1" w:styleId="FootnoteTextChar2">
    <w:name w:val="Footnote Text Char2"/>
    <w:aliases w:val="5_G Char,PP Char,5_G_6 Char,Footnote Text Char Char1,5_GR Char,-E Fußnotentext Char,footnote text Char,Fußnotentext Ursprung Char,Footnote Text Char Char Char Char Char,Footnote Text1 Char,Footnote Text Char Char Char Char1,Fußn Char"/>
    <w:link w:val="FootnoteText"/>
    <w:uiPriority w:val="99"/>
    <w:qFormat/>
    <w:rPr>
      <w:sz w:val="18"/>
      <w:lang w:val="en-GB" w:eastAsia="en-US" w:bidi="ar-SA"/>
    </w:rPr>
  </w:style>
  <w:style w:type="paragraph" w:customStyle="1" w:styleId="a0">
    <w:name w:val="(a)"/>
    <w:basedOn w:val="Normal"/>
    <w:qFormat/>
    <w:pPr>
      <w:spacing w:after="120"/>
      <w:ind w:left="1701" w:right="1134" w:hanging="567"/>
      <w:jc w:val="both"/>
    </w:pPr>
  </w:style>
  <w:style w:type="character" w:customStyle="1" w:styleId="SingleTxtGChar">
    <w:name w:val="_ Single Txt_G Char"/>
    <w:link w:val="SingleTxtG"/>
    <w:qFormat/>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BodyTextChar">
    <w:name w:val="Body Text Char"/>
    <w:link w:val="BodyText"/>
    <w:rPr>
      <w:rFonts w:ascii="Univers" w:hAnsi="Univers"/>
      <w:snapToGrid w:val="0"/>
      <w:sz w:val="16"/>
      <w:lang w:eastAsia="en-US"/>
    </w:rPr>
  </w:style>
  <w:style w:type="character" w:customStyle="1" w:styleId="BodyTextIndentChar">
    <w:name w:val="Body Text Indent Char"/>
    <w:link w:val="BodyTextIndent"/>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FooterChar">
    <w:name w:val="Footer Char"/>
    <w:aliases w:val="3_G Char"/>
    <w:link w:val="Footer"/>
    <w:rPr>
      <w:sz w:val="16"/>
      <w:lang w:eastAsia="en-US"/>
    </w:rPr>
  </w:style>
  <w:style w:type="paragraph" w:styleId="List5">
    <w:name w:val="List 5"/>
    <w:basedOn w:val="Normal"/>
    <w:pPr>
      <w:ind w:left="1415" w:hanging="283"/>
      <w:contextualSpacing/>
    </w:pPr>
  </w:style>
  <w:style w:type="paragraph" w:customStyle="1" w:styleId="CM102">
    <w:name w:val="CM102"/>
    <w:basedOn w:val="Normal"/>
    <w:next w:val="Normal"/>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Heading1Char">
    <w:name w:val="Heading 1 Char"/>
    <w:aliases w:val="Table_G Char,Heading 1* Char"/>
    <w:link w:val="Heading1"/>
    <w:rPr>
      <w:lang w:eastAsia="en-US"/>
    </w:rPr>
  </w:style>
  <w:style w:type="character" w:styleId="LineNumber">
    <w:name w:val="line number"/>
    <w:rPr>
      <w:sz w:val="1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IntenseQuote">
    <w:name w:val="Intense Quote"/>
    <w:basedOn w:val="Normal"/>
    <w:next w:val="Normal"/>
    <w:link w:val="IntenseQuoteChar"/>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IntenseQuoteChar">
    <w:name w:val="Intense Quote Char"/>
    <w:basedOn w:val="DefaultParagraphFont"/>
    <w:link w:val="IntenseQuote"/>
    <w:uiPriority w:val="30"/>
    <w:rPr>
      <w:b/>
      <w:bCs/>
      <w:i/>
      <w:iCs/>
      <w:color w:val="4F81BD" w:themeColor="accent1"/>
      <w:sz w:val="24"/>
      <w:szCs w:val="24"/>
      <w:lang w:val="it-IT" w:eastAsia="it-IT"/>
    </w:rPr>
  </w:style>
  <w:style w:type="character" w:customStyle="1" w:styleId="CommentTextChar">
    <w:name w:val="Comment Text Char"/>
    <w:basedOn w:val="DefaultParagraphFont"/>
    <w:link w:val="CommentText"/>
    <w:uiPriority w:val="99"/>
    <w:rPr>
      <w:lang w:eastAsia="en-US"/>
    </w:rPr>
  </w:style>
  <w:style w:type="character" w:customStyle="1" w:styleId="CommentSubjectChar">
    <w:name w:val="Comment Subject Char"/>
    <w:basedOn w:val="CommentTextChar"/>
    <w:link w:val="CommentSubject"/>
    <w:rPr>
      <w:b/>
      <w:bCs/>
      <w:lang w:eastAsia="en-US"/>
    </w:rPr>
  </w:style>
  <w:style w:type="paragraph" w:styleId="Revision">
    <w:name w:val="Revision"/>
    <w:hidden/>
    <w:uiPriority w:val="99"/>
    <w:semiHidden/>
    <w:rPr>
      <w:sz w:val="24"/>
      <w:szCs w:val="24"/>
      <w:lang w:val="en-US" w:eastAsia="it-IT"/>
    </w:rPr>
  </w:style>
  <w:style w:type="paragraph" w:customStyle="1" w:styleId="StyleaLeft394cm">
    <w:name w:val="Style (a) + Left:  3.94 cm"/>
    <w:basedOn w:val="Normal"/>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Heading2Char">
    <w:name w:val="Heading 2 Char"/>
    <w:aliases w:val="H2 Char"/>
    <w:basedOn w:val="DefaultParagraphFont"/>
    <w:link w:val="Heading2"/>
    <w:rPr>
      <w:lang w:eastAsia="en-US"/>
    </w:rPr>
  </w:style>
  <w:style w:type="character" w:customStyle="1" w:styleId="Heading3Char">
    <w:name w:val="Heading 3 Char"/>
    <w:basedOn w:val="DefaultParagraphFont"/>
    <w:link w:val="Heading3"/>
    <w:rPr>
      <w:lang w:eastAsia="en-US"/>
    </w:rPr>
  </w:style>
  <w:style w:type="character" w:customStyle="1" w:styleId="Heading4Char">
    <w:name w:val="Heading 4 Char"/>
    <w:basedOn w:val="DefaultParagraphFont"/>
    <w:link w:val="Heading4"/>
    <w:rPr>
      <w:lang w:eastAsia="en-US"/>
    </w:rPr>
  </w:style>
  <w:style w:type="character" w:customStyle="1" w:styleId="Heading5Char">
    <w:name w:val="Heading 5 Char"/>
    <w:basedOn w:val="DefaultParagraphFont"/>
    <w:link w:val="Heading5"/>
    <w:rPr>
      <w:lang w:eastAsia="en-US"/>
    </w:rPr>
  </w:style>
  <w:style w:type="character" w:customStyle="1" w:styleId="Heading6Char">
    <w:name w:val="Heading 6 Char"/>
    <w:basedOn w:val="DefaultParagraphFont"/>
    <w:link w:val="Heading6"/>
    <w:rPr>
      <w:lang w:eastAsia="en-US"/>
    </w:rPr>
  </w:style>
  <w:style w:type="character" w:customStyle="1" w:styleId="Heading7Char">
    <w:name w:val="Heading 7 Char"/>
    <w:basedOn w:val="DefaultParagraphFont"/>
    <w:link w:val="Heading7"/>
    <w:rPr>
      <w:lang w:eastAsia="en-US"/>
    </w:rPr>
  </w:style>
  <w:style w:type="character" w:customStyle="1" w:styleId="Heading8Char">
    <w:name w:val="Heading 8 Char"/>
    <w:basedOn w:val="DefaultParagraphFont"/>
    <w:link w:val="Heading8"/>
    <w:rPr>
      <w:lang w:eastAsia="en-US"/>
    </w:rPr>
  </w:style>
  <w:style w:type="character" w:customStyle="1" w:styleId="Heading9Char">
    <w:name w:val="Heading 9 Char"/>
    <w:basedOn w:val="DefaultParagraphFont"/>
    <w:link w:val="Heading9"/>
    <w:rPr>
      <w:lang w:eastAsia="en-US"/>
    </w:rPr>
  </w:style>
  <w:style w:type="numbering" w:customStyle="1" w:styleId="NoList1">
    <w:name w:val="No List1"/>
    <w:next w:val="NoList"/>
    <w:uiPriority w:val="99"/>
    <w:semiHidden/>
    <w:unhideWhenUsed/>
  </w:style>
  <w:style w:type="character" w:customStyle="1" w:styleId="PlainTextChar">
    <w:name w:val="Plain Text Char"/>
    <w:basedOn w:val="DefaultParagraphFont"/>
    <w:link w:val="PlainText"/>
    <w:semiHidden/>
    <w:rPr>
      <w:rFonts w:ascii="Courier New" w:hAnsi="Courier New"/>
      <w:snapToGrid w:val="0"/>
      <w:lang w:val="nl-NL" w:eastAsia="en-US"/>
    </w:rPr>
  </w:style>
  <w:style w:type="character" w:customStyle="1" w:styleId="EndnoteTextChar">
    <w:name w:val="Endnote Text Char"/>
    <w:aliases w:val="2_G Char"/>
    <w:basedOn w:val="DefaultParagraphFont"/>
    <w:link w:val="EndnoteText"/>
    <w:rPr>
      <w:sz w:val="18"/>
      <w:lang w:eastAsia="en-US"/>
    </w:rPr>
  </w:style>
  <w:style w:type="numbering" w:styleId="111111">
    <w:name w:val="Outline List 2"/>
    <w:basedOn w:val="NoList"/>
    <w:pPr>
      <w:numPr>
        <w:numId w:val="5"/>
      </w:numPr>
    </w:pPr>
  </w:style>
  <w:style w:type="numbering" w:styleId="1ai">
    <w:name w:val="Outline List 1"/>
    <w:basedOn w:val="NoList"/>
    <w:pPr>
      <w:numPr>
        <w:numId w:val="6"/>
      </w:numPr>
    </w:pPr>
  </w:style>
  <w:style w:type="numbering" w:styleId="ArticleSection">
    <w:name w:val="Outline List 3"/>
    <w:basedOn w:val="NoList"/>
    <w:pPr>
      <w:numPr>
        <w:numId w:val="7"/>
      </w:numPr>
    </w:pPr>
  </w:style>
  <w:style w:type="character" w:customStyle="1" w:styleId="BodyText2Char">
    <w:name w:val="Body Text 2 Char"/>
    <w:basedOn w:val="DefaultParagraphFont"/>
    <w:link w:val="BodyText2"/>
    <w:rPr>
      <w:rFonts w:ascii="Univers" w:hAnsi="Univers"/>
      <w:b/>
      <w:caps/>
      <w:sz w:val="24"/>
      <w:lang w:eastAsia="en-US"/>
    </w:rPr>
  </w:style>
  <w:style w:type="character" w:customStyle="1" w:styleId="BodyText3Char">
    <w:name w:val="Body Text 3 Char"/>
    <w:basedOn w:val="DefaultParagraphFont"/>
    <w:link w:val="BodyText3"/>
    <w:rPr>
      <w:rFonts w:ascii="Univers" w:hAnsi="Univers"/>
      <w:snapToGrid w:val="0"/>
      <w:lang w:eastAsia="en-US"/>
    </w:rPr>
  </w:style>
  <w:style w:type="paragraph" w:styleId="BodyTextFirstIndent">
    <w:name w:val="Body Text First Indent"/>
    <w:basedOn w:val="BodyText"/>
    <w:link w:val="BodyTextFirstIndentChar"/>
    <w:pPr>
      <w:suppressAutoHyphens/>
      <w:spacing w:after="120" w:line="240" w:lineRule="atLeast"/>
      <w:ind w:firstLine="210"/>
    </w:pPr>
    <w:rPr>
      <w:rFonts w:ascii="Times New Roman" w:hAnsi="Times New Roman"/>
      <w:snapToGrid/>
      <w:sz w:val="20"/>
      <w:lang w:val="it-IT"/>
    </w:rPr>
  </w:style>
  <w:style w:type="character" w:customStyle="1" w:styleId="BodyTextFirstIndentChar">
    <w:name w:val="Body Text First Indent Char"/>
    <w:basedOn w:val="BodyTextChar"/>
    <w:link w:val="BodyTextFirstIndent"/>
    <w:rPr>
      <w:rFonts w:ascii="Univers" w:hAnsi="Univers"/>
      <w:snapToGrid/>
      <w:sz w:val="16"/>
      <w:lang w:val="it-IT" w:eastAsia="en-US"/>
    </w:rPr>
  </w:style>
  <w:style w:type="paragraph" w:styleId="BodyTextFirstIndent2">
    <w:name w:val="Body Text First Indent 2"/>
    <w:basedOn w:val="BodyTextIndent"/>
    <w:link w:val="BodyTextFirstIndent2Char"/>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BodyTextFirstIndent2Char">
    <w:name w:val="Body Text First Indent 2 Char"/>
    <w:basedOn w:val="BodyTextIndentChar"/>
    <w:link w:val="BodyTextFirstIndent2"/>
    <w:rPr>
      <w:rFonts w:ascii="Courier New" w:hAnsi="Courier New"/>
      <w:snapToGrid/>
      <w:lang w:val="it-IT" w:eastAsia="en-US"/>
    </w:rPr>
  </w:style>
  <w:style w:type="character" w:customStyle="1" w:styleId="BodyTextIndent2Char">
    <w:name w:val="Body Text Indent 2 Char"/>
    <w:basedOn w:val="DefaultParagraphFont"/>
    <w:link w:val="BodyTextIndent2"/>
    <w:rPr>
      <w:rFonts w:ascii="Courier New" w:hAnsi="Courier New"/>
      <w:snapToGrid w:val="0"/>
      <w:lang w:eastAsia="en-US"/>
    </w:rPr>
  </w:style>
  <w:style w:type="character" w:customStyle="1" w:styleId="BodyTextIndent3Char">
    <w:name w:val="Body Text Indent 3 Char"/>
    <w:basedOn w:val="DefaultParagraphFont"/>
    <w:link w:val="BodyTextIndent3"/>
    <w:rPr>
      <w:rFonts w:ascii="Courier New" w:hAnsi="Courier New"/>
      <w:snapToGrid w:val="0"/>
      <w:lang w:eastAsia="en-US"/>
    </w:rPr>
  </w:style>
  <w:style w:type="paragraph" w:styleId="Closing">
    <w:name w:val="Closing"/>
    <w:basedOn w:val="Normal"/>
    <w:link w:val="ClosingChar"/>
    <w:pPr>
      <w:ind w:left="4252"/>
    </w:pPr>
    <w:rPr>
      <w:lang w:val="it-IT"/>
    </w:rPr>
  </w:style>
  <w:style w:type="character" w:customStyle="1" w:styleId="ClosingChar">
    <w:name w:val="Closing Char"/>
    <w:basedOn w:val="DefaultParagraphFont"/>
    <w:link w:val="Closing"/>
    <w:rPr>
      <w:lang w:val="it-IT" w:eastAsia="en-US"/>
    </w:rPr>
  </w:style>
  <w:style w:type="paragraph" w:styleId="Date">
    <w:name w:val="Date"/>
    <w:basedOn w:val="Normal"/>
    <w:next w:val="Normal"/>
    <w:link w:val="DateChar"/>
    <w:rPr>
      <w:lang w:val="it-IT"/>
    </w:rPr>
  </w:style>
  <w:style w:type="character" w:customStyle="1" w:styleId="DateChar">
    <w:name w:val="Date Char"/>
    <w:basedOn w:val="DefaultParagraphFont"/>
    <w:link w:val="Date"/>
    <w:rPr>
      <w:lang w:val="it-IT" w:eastAsia="en-US"/>
    </w:rPr>
  </w:style>
  <w:style w:type="paragraph" w:styleId="E-mailSignature">
    <w:name w:val="E-mail Signature"/>
    <w:basedOn w:val="Normal"/>
    <w:link w:val="E-mailSignatureChar"/>
    <w:rPr>
      <w:lang w:val="it-IT"/>
    </w:rPr>
  </w:style>
  <w:style w:type="character" w:customStyle="1" w:styleId="E-mailSignatureChar">
    <w:name w:val="E-mail Signature Char"/>
    <w:basedOn w:val="DefaultParagraphFont"/>
    <w:link w:val="E-mailSignature"/>
    <w:rPr>
      <w:lang w:val="it-IT" w:eastAsia="en-US"/>
    </w:rPr>
  </w:style>
  <w:style w:type="character" w:styleId="Emphasis">
    <w:name w:val="Emphasis"/>
    <w:qFormat/>
    <w:rPr>
      <w:i/>
      <w:iCs/>
    </w:rPr>
  </w:style>
  <w:style w:type="paragraph" w:styleId="EnvelopeReturn">
    <w:name w:val="envelope return"/>
    <w:basedOn w:val="Normal"/>
    <w:rPr>
      <w:rFonts w:ascii="Arial" w:hAnsi="Arial" w:cs="Arial"/>
      <w:lang w:val="it-IT"/>
    </w:rPr>
  </w:style>
  <w:style w:type="character" w:styleId="HTMLAcronym">
    <w:name w:val="HTML Acronym"/>
    <w:basedOn w:val="DefaultParagraphFont"/>
  </w:style>
  <w:style w:type="paragraph" w:styleId="HTMLAddress">
    <w:name w:val="HTML Address"/>
    <w:basedOn w:val="Normal"/>
    <w:link w:val="HTMLAddressChar"/>
    <w:rPr>
      <w:i/>
      <w:iCs/>
      <w:lang w:val="it-IT"/>
    </w:rPr>
  </w:style>
  <w:style w:type="character" w:customStyle="1" w:styleId="HTMLAddressChar">
    <w:name w:val="HTML Address Char"/>
    <w:basedOn w:val="DefaultParagraphFont"/>
    <w:link w:val="HTMLAddress"/>
    <w:rPr>
      <w:i/>
      <w:iCs/>
      <w:lang w:val="it-IT"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lang w:val="it-IT"/>
    </w:rPr>
  </w:style>
  <w:style w:type="character" w:customStyle="1" w:styleId="HTMLPreformattedChar">
    <w:name w:val="HTML Preformatted Char"/>
    <w:basedOn w:val="DefaultParagraphFont"/>
    <w:link w:val="HTMLPreformatted"/>
    <w:rPr>
      <w:rFonts w:ascii="Courier New" w:hAnsi="Courier New" w:cs="Courier New"/>
      <w:lang w:val="it-IT"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paragraph" w:styleId="List">
    <w:name w:val="List"/>
    <w:basedOn w:val="Normal"/>
    <w:pPr>
      <w:ind w:left="283" w:hanging="283"/>
    </w:pPr>
    <w:rPr>
      <w:lang w:val="it-IT"/>
    </w:rPr>
  </w:style>
  <w:style w:type="paragraph" w:styleId="List2">
    <w:name w:val="List 2"/>
    <w:basedOn w:val="Normal"/>
    <w:pPr>
      <w:ind w:left="566" w:hanging="283"/>
    </w:pPr>
    <w:rPr>
      <w:lang w:val="it-IT"/>
    </w:rPr>
  </w:style>
  <w:style w:type="paragraph" w:styleId="List3">
    <w:name w:val="List 3"/>
    <w:basedOn w:val="Normal"/>
    <w:pPr>
      <w:ind w:left="849" w:hanging="283"/>
    </w:pPr>
    <w:rPr>
      <w:lang w:val="it-IT"/>
    </w:rPr>
  </w:style>
  <w:style w:type="paragraph" w:styleId="List4">
    <w:name w:val="List 4"/>
    <w:basedOn w:val="Normal"/>
    <w:pPr>
      <w:ind w:left="1132" w:hanging="283"/>
    </w:pPr>
    <w:rPr>
      <w:lang w:val="it-IT"/>
    </w:rPr>
  </w:style>
  <w:style w:type="paragraph" w:styleId="ListBullet2">
    <w:name w:val="List Bullet 2"/>
    <w:basedOn w:val="Normal"/>
    <w:pPr>
      <w:tabs>
        <w:tab w:val="num" w:pos="643"/>
      </w:tabs>
      <w:ind w:left="643" w:hanging="360"/>
    </w:pPr>
    <w:rPr>
      <w:lang w:val="it-IT"/>
    </w:rPr>
  </w:style>
  <w:style w:type="paragraph" w:styleId="ListBullet3">
    <w:name w:val="List Bullet 3"/>
    <w:basedOn w:val="Normal"/>
    <w:pPr>
      <w:tabs>
        <w:tab w:val="num" w:pos="926"/>
      </w:tabs>
      <w:ind w:left="926" w:hanging="360"/>
    </w:pPr>
    <w:rPr>
      <w:lang w:val="it-IT"/>
    </w:rPr>
  </w:style>
  <w:style w:type="paragraph" w:styleId="ListBullet4">
    <w:name w:val="List Bullet 4"/>
    <w:basedOn w:val="Normal"/>
    <w:pPr>
      <w:tabs>
        <w:tab w:val="num" w:pos="1209"/>
      </w:tabs>
      <w:ind w:left="1209" w:hanging="360"/>
    </w:pPr>
    <w:rPr>
      <w:lang w:val="it-IT"/>
    </w:rPr>
  </w:style>
  <w:style w:type="paragraph" w:styleId="ListBullet5">
    <w:name w:val="List Bullet 5"/>
    <w:basedOn w:val="Normal"/>
    <w:pPr>
      <w:tabs>
        <w:tab w:val="num" w:pos="1492"/>
      </w:tabs>
      <w:ind w:left="1492" w:hanging="360"/>
    </w:pPr>
    <w:rPr>
      <w:lang w:val="it-IT"/>
    </w:rPr>
  </w:style>
  <w:style w:type="paragraph" w:styleId="ListContinue">
    <w:name w:val="List Continue"/>
    <w:basedOn w:val="Normal"/>
    <w:pPr>
      <w:spacing w:after="120"/>
      <w:ind w:left="283"/>
    </w:pPr>
    <w:rPr>
      <w:lang w:val="it-IT"/>
    </w:rPr>
  </w:style>
  <w:style w:type="paragraph" w:styleId="ListContinue2">
    <w:name w:val="List Continue 2"/>
    <w:basedOn w:val="Normal"/>
    <w:pPr>
      <w:spacing w:after="120"/>
      <w:ind w:left="566"/>
    </w:pPr>
    <w:rPr>
      <w:lang w:val="it-IT"/>
    </w:rPr>
  </w:style>
  <w:style w:type="paragraph" w:styleId="ListContinue3">
    <w:name w:val="List Continue 3"/>
    <w:basedOn w:val="Normal"/>
    <w:pPr>
      <w:spacing w:after="120"/>
      <w:ind w:left="849"/>
    </w:pPr>
    <w:rPr>
      <w:lang w:val="it-IT"/>
    </w:rPr>
  </w:style>
  <w:style w:type="paragraph" w:styleId="ListContinue4">
    <w:name w:val="List Continue 4"/>
    <w:basedOn w:val="Normal"/>
    <w:pPr>
      <w:spacing w:after="120"/>
      <w:ind w:left="1132"/>
    </w:pPr>
    <w:rPr>
      <w:lang w:val="it-IT"/>
    </w:rPr>
  </w:style>
  <w:style w:type="paragraph" w:styleId="ListContinue5">
    <w:name w:val="List Continue 5"/>
    <w:basedOn w:val="Normal"/>
    <w:pPr>
      <w:spacing w:after="120"/>
      <w:ind w:left="1415"/>
    </w:pPr>
    <w:rPr>
      <w:lang w:val="it-IT"/>
    </w:rPr>
  </w:style>
  <w:style w:type="paragraph" w:styleId="ListNumber2">
    <w:name w:val="List Number 2"/>
    <w:basedOn w:val="Normal"/>
    <w:pPr>
      <w:tabs>
        <w:tab w:val="num" w:pos="643"/>
      </w:tabs>
      <w:ind w:left="643" w:hanging="360"/>
    </w:pPr>
    <w:rPr>
      <w:lang w:val="it-IT"/>
    </w:rPr>
  </w:style>
  <w:style w:type="paragraph" w:styleId="ListNumber3">
    <w:name w:val="List Number 3"/>
    <w:basedOn w:val="Normal"/>
    <w:pPr>
      <w:tabs>
        <w:tab w:val="num" w:pos="926"/>
      </w:tabs>
      <w:ind w:left="926" w:hanging="360"/>
    </w:pPr>
    <w:rPr>
      <w:lang w:val="it-IT"/>
    </w:rPr>
  </w:style>
  <w:style w:type="paragraph" w:styleId="ListNumber4">
    <w:name w:val="List Number 4"/>
    <w:basedOn w:val="Normal"/>
    <w:pPr>
      <w:tabs>
        <w:tab w:val="num" w:pos="1209"/>
      </w:tabs>
      <w:ind w:left="1209" w:hanging="360"/>
    </w:pPr>
    <w:rPr>
      <w:lang w:val="it-IT"/>
    </w:rPr>
  </w:style>
  <w:style w:type="paragraph" w:styleId="ListNumber5">
    <w:name w:val="List Number 5"/>
    <w:basedOn w:val="Normal"/>
    <w:pPr>
      <w:tabs>
        <w:tab w:val="num" w:pos="1492"/>
      </w:tabs>
      <w:ind w:left="1492" w:hanging="360"/>
    </w:pPr>
    <w:rPr>
      <w:lang w:val="it-I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MessageHeaderChar">
    <w:name w:val="Message Header Char"/>
    <w:basedOn w:val="DefaultParagraphFont"/>
    <w:link w:val="MessageHeader"/>
    <w:rPr>
      <w:rFonts w:ascii="Arial" w:hAnsi="Arial" w:cs="Arial"/>
      <w:sz w:val="24"/>
      <w:szCs w:val="24"/>
      <w:shd w:val="pct20" w:color="auto" w:fill="auto"/>
      <w:lang w:val="it-IT" w:eastAsia="en-US"/>
    </w:rPr>
  </w:style>
  <w:style w:type="paragraph" w:styleId="NormalWeb">
    <w:name w:val="Normal (Web)"/>
    <w:basedOn w:val="Normal"/>
    <w:uiPriority w:val="99"/>
    <w:rPr>
      <w:sz w:val="24"/>
      <w:szCs w:val="24"/>
      <w:lang w:val="it-IT"/>
    </w:rPr>
  </w:style>
  <w:style w:type="paragraph" w:styleId="NormalIndent">
    <w:name w:val="Normal Indent"/>
    <w:basedOn w:val="Normal"/>
    <w:pPr>
      <w:ind w:left="567"/>
    </w:pPr>
    <w:rPr>
      <w:lang w:val="it-IT"/>
    </w:rPr>
  </w:style>
  <w:style w:type="paragraph" w:styleId="NoteHeading">
    <w:name w:val="Note Heading"/>
    <w:basedOn w:val="Normal"/>
    <w:next w:val="Normal"/>
    <w:link w:val="NoteHeadingChar"/>
    <w:rPr>
      <w:lang w:val="it-IT"/>
    </w:rPr>
  </w:style>
  <w:style w:type="character" w:customStyle="1" w:styleId="NoteHeadingChar">
    <w:name w:val="Note Heading Char"/>
    <w:basedOn w:val="DefaultParagraphFont"/>
    <w:link w:val="NoteHeading"/>
    <w:rPr>
      <w:lang w:val="it-IT" w:eastAsia="en-US"/>
    </w:rPr>
  </w:style>
  <w:style w:type="paragraph" w:styleId="Salutation">
    <w:name w:val="Salutation"/>
    <w:basedOn w:val="Normal"/>
    <w:next w:val="Normal"/>
    <w:link w:val="SalutationChar"/>
    <w:rPr>
      <w:lang w:val="it-IT"/>
    </w:rPr>
  </w:style>
  <w:style w:type="character" w:customStyle="1" w:styleId="SalutationChar">
    <w:name w:val="Salutation Char"/>
    <w:basedOn w:val="DefaultParagraphFont"/>
    <w:link w:val="Salutation"/>
    <w:rPr>
      <w:lang w:val="it-IT" w:eastAsia="en-US"/>
    </w:rPr>
  </w:style>
  <w:style w:type="paragraph" w:styleId="Signature">
    <w:name w:val="Signature"/>
    <w:basedOn w:val="Normal"/>
    <w:link w:val="SignatureChar"/>
    <w:pPr>
      <w:ind w:left="4252"/>
    </w:pPr>
    <w:rPr>
      <w:lang w:val="it-IT"/>
    </w:rPr>
  </w:style>
  <w:style w:type="character" w:customStyle="1" w:styleId="SignatureChar">
    <w:name w:val="Signature Char"/>
    <w:basedOn w:val="DefaultParagraphFont"/>
    <w:link w:val="Signature"/>
    <w:rPr>
      <w:lang w:val="it-IT"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lang w:val="it-IT"/>
    </w:rPr>
  </w:style>
  <w:style w:type="character" w:customStyle="1" w:styleId="SubtitleChar">
    <w:name w:val="Subtitle Char"/>
    <w:basedOn w:val="DefaultParagraphFont"/>
    <w:link w:val="Subtitle"/>
    <w:rPr>
      <w:rFonts w:ascii="Arial" w:hAnsi="Arial" w:cs="Arial"/>
      <w:sz w:val="24"/>
      <w:szCs w:val="24"/>
      <w:lang w:val="it-IT" w:eastAsia="en-US"/>
    </w:rPr>
  </w:style>
  <w:style w:type="table" w:styleId="Table3Deffects1">
    <w:name w:val="Table 3D effects 1"/>
    <w:basedOn w:val="TableNormal"/>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240" w:after="60"/>
      <w:jc w:val="center"/>
      <w:outlineLvl w:val="0"/>
    </w:pPr>
    <w:rPr>
      <w:rFonts w:ascii="Arial" w:hAnsi="Arial" w:cs="Arial"/>
      <w:b/>
      <w:bCs/>
      <w:kern w:val="28"/>
      <w:sz w:val="32"/>
      <w:szCs w:val="32"/>
      <w:lang w:val="it-IT"/>
    </w:rPr>
  </w:style>
  <w:style w:type="character" w:customStyle="1" w:styleId="TitleChar">
    <w:name w:val="Title Char"/>
    <w:basedOn w:val="DefaultParagraphFont"/>
    <w:link w:val="Title"/>
    <w:rPr>
      <w:rFonts w:ascii="Arial" w:hAnsi="Arial" w:cs="Arial"/>
      <w:b/>
      <w:bCs/>
      <w:kern w:val="28"/>
      <w:sz w:val="32"/>
      <w:szCs w:val="32"/>
      <w:lang w:val="it-IT"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
    <w:qFormat/>
    <w:pPr>
      <w:spacing w:after="120"/>
      <w:ind w:left="3402" w:right="1134" w:hanging="567"/>
      <w:jc w:val="both"/>
    </w:pPr>
    <w:rPr>
      <w:lang w:val="it-IT"/>
    </w:rPr>
  </w:style>
  <w:style w:type="table" w:customStyle="1" w:styleId="TableGrid10">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oList"/>
    <w:uiPriority w:val="99"/>
    <w:semiHidden/>
    <w:unhideWhenUsed/>
  </w:style>
  <w:style w:type="numbering" w:customStyle="1" w:styleId="1111111">
    <w:name w:val="1 / 1.1 / 1.1.11"/>
    <w:basedOn w:val="NoList"/>
    <w:next w:val="111111"/>
    <w:semiHidden/>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3Deffects11">
    <w:name w:val="Table 3D effects 11"/>
    <w:basedOn w:val="TableNormal"/>
    <w:next w:val="Table3Deffects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0">
    <w:name w:val="Table Grid2"/>
    <w:basedOn w:val="TableNormal"/>
    <w:next w:val="TableGri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leNormal"/>
    <w:next w:val="TableGrid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TOC1">
    <w:name w:val="toc 1"/>
    <w:basedOn w:val="Normal"/>
    <w:next w:val="Normal"/>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
    <w:pPr>
      <w:spacing w:after="120"/>
      <w:ind w:left="2835" w:right="1134" w:hanging="567"/>
      <w:jc w:val="both"/>
    </w:pPr>
  </w:style>
  <w:style w:type="paragraph" w:styleId="TOCHeading">
    <w:name w:val="TOC Heading"/>
    <w:basedOn w:val="Heading1"/>
    <w:next w:val="Normal"/>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
    <w:pPr>
      <w:spacing w:after="120"/>
      <w:ind w:left="2268" w:right="1134"/>
      <w:jc w:val="both"/>
    </w:pPr>
  </w:style>
  <w:style w:type="paragraph" w:customStyle="1" w:styleId="Level1">
    <w:name w:val="Level 1"/>
    <w:basedOn w:val="Normal"/>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
    <w:pPr>
      <w:tabs>
        <w:tab w:val="left" w:pos="1418"/>
      </w:tabs>
      <w:suppressAutoHyphens w:val="0"/>
      <w:spacing w:line="240" w:lineRule="auto"/>
      <w:ind w:left="1418" w:hanging="1418"/>
    </w:pPr>
    <w:rPr>
      <w:i/>
      <w:sz w:val="24"/>
    </w:rPr>
  </w:style>
  <w:style w:type="paragraph" w:customStyle="1" w:styleId="Regelungbestehend2-5">
    <w:name w:val="Regelung bestehend 2-5"/>
    <w:basedOn w:val="Normal"/>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
    <w:pPr>
      <w:tabs>
        <w:tab w:val="left" w:pos="1134"/>
      </w:tabs>
      <w:suppressAutoHyphens w:val="0"/>
      <w:spacing w:line="240" w:lineRule="auto"/>
      <w:ind w:left="1134" w:hanging="1134"/>
    </w:pPr>
    <w:rPr>
      <w:i/>
      <w:sz w:val="24"/>
    </w:rPr>
  </w:style>
  <w:style w:type="paragraph" w:customStyle="1" w:styleId="Technical5">
    <w:name w:val="Technical[5]"/>
    <w:basedOn w:val="Normal"/>
    <w:pPr>
      <w:suppressAutoHyphens w:val="0"/>
      <w:spacing w:line="240" w:lineRule="auto"/>
    </w:pPr>
    <w:rPr>
      <w:b/>
      <w:sz w:val="24"/>
      <w:szCs w:val="24"/>
      <w:lang w:eastAsia="de-DE"/>
    </w:rPr>
  </w:style>
  <w:style w:type="paragraph" w:customStyle="1" w:styleId="Styl2">
    <w:name w:val="Styl2"/>
    <w:basedOn w:val="Normal"/>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0">
    <w:name w:val="listparagraph"/>
    <w:basedOn w:val="Normal"/>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
    <w:pPr>
      <w:suppressAutoHyphens w:val="0"/>
      <w:spacing w:line="240" w:lineRule="auto"/>
    </w:pPr>
    <w:rPr>
      <w:bCs/>
      <w:color w:val="FF0000"/>
      <w:sz w:val="28"/>
      <w:szCs w:val="28"/>
    </w:rPr>
  </w:style>
  <w:style w:type="paragraph" w:styleId="DocumentMap">
    <w:name w:val="Document Map"/>
    <w:basedOn w:val="Normal"/>
    <w:link w:val="DocumentMapChar"/>
    <w:pPr>
      <w:shd w:val="clear" w:color="auto" w:fill="000080"/>
      <w:suppressAutoHyphens w:val="0"/>
      <w:spacing w:line="240" w:lineRule="auto"/>
    </w:pPr>
    <w:rPr>
      <w:rFonts w:ascii="Tahoma" w:hAnsi="Tahoma"/>
      <w:sz w:val="24"/>
      <w:lang w:val="fr-FR"/>
    </w:rPr>
  </w:style>
  <w:style w:type="character" w:customStyle="1" w:styleId="DocumentMapChar">
    <w:name w:val="Document Map Char"/>
    <w:basedOn w:val="DefaultParagraphFont"/>
    <w:link w:val="DocumentMap"/>
    <w:rPr>
      <w:rFonts w:ascii="Tahoma" w:hAnsi="Tahoma"/>
      <w:sz w:val="24"/>
      <w:shd w:val="clear" w:color="auto" w:fill="000080"/>
      <w:lang w:val="fr-FR" w:eastAsia="en-US"/>
    </w:rPr>
  </w:style>
  <w:style w:type="paragraph" w:customStyle="1" w:styleId="CM65">
    <w:name w:val="CM65"/>
    <w:basedOn w:val="Normal"/>
    <w:next w:val="Normal"/>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oList"/>
    <w:next w:val="1ai"/>
    <w:pPr>
      <w:numPr>
        <w:numId w:val="4"/>
      </w:numPr>
    </w:pPr>
  </w:style>
  <w:style w:type="paragraph" w:customStyle="1" w:styleId="Annex1">
    <w:name w:val="Annex1"/>
    <w:basedOn w:val="Normal"/>
    <w:qFormat/>
    <w:pPr>
      <w:tabs>
        <w:tab w:val="left" w:pos="1700"/>
        <w:tab w:val="right" w:leader="dot" w:pos="8505"/>
      </w:tabs>
      <w:spacing w:after="120"/>
      <w:ind w:left="2268" w:right="1134" w:hanging="1134"/>
      <w:jc w:val="both"/>
    </w:pPr>
  </w:style>
  <w:style w:type="paragraph" w:customStyle="1" w:styleId="0title">
    <w:name w:val="0.title"/>
    <w:basedOn w:val="Normal"/>
    <w:next w:val="Normal"/>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oSpacing">
    <w:name w:val="No Spacing"/>
    <w:uiPriority w:val="1"/>
    <w:qFormat/>
    <w:pPr>
      <w:suppressAutoHyphens/>
    </w:pPr>
    <w:rPr>
      <w:lang w:eastAsia="en-US"/>
    </w:rPr>
  </w:style>
  <w:style w:type="paragraph" w:customStyle="1" w:styleId="5para5thlevel">
    <w:name w:val="5.para 5th level"/>
    <w:basedOn w:val="Normal"/>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DefaultParagraphFont"/>
    <w:link w:val="5para5thlevel"/>
    <w:rPr>
      <w:rFonts w:eastAsiaTheme="minorEastAsia"/>
      <w:lang w:eastAsia="en-US"/>
    </w:rPr>
  </w:style>
  <w:style w:type="paragraph" w:customStyle="1" w:styleId="4Para4thlevel">
    <w:name w:val="4.Para 4th level"/>
    <w:basedOn w:val="Normal"/>
    <w:link w:val="4Para4thlevelCar"/>
    <w:qFormat/>
    <w:rsid w:val="008236CB"/>
    <w:pPr>
      <w:spacing w:after="120"/>
      <w:ind w:left="2268" w:right="1134" w:hanging="1134"/>
      <w:jc w:val="both"/>
      <w:outlineLvl w:val="3"/>
    </w:pPr>
    <w:rPr>
      <w:rFonts w:eastAsiaTheme="minorEastAsia"/>
    </w:rPr>
  </w:style>
  <w:style w:type="character" w:customStyle="1" w:styleId="4Para4thlevelCar">
    <w:name w:val="4.Para 4th level Car"/>
    <w:basedOn w:val="DefaultParagraphFont"/>
    <w:link w:val="4Para4thlevel"/>
    <w:rsid w:val="008236CB"/>
    <w:rPr>
      <w:rFonts w:eastAsiaTheme="minorEastAsia"/>
      <w:lang w:eastAsia="en-US"/>
    </w:rPr>
  </w:style>
  <w:style w:type="character" w:customStyle="1" w:styleId="Insert">
    <w:name w:val="提案Insert部分 (文字)"/>
    <w:basedOn w:val="DefaultParagraphFont"/>
    <w:link w:val="Insert0"/>
    <w:locked/>
    <w:rsid w:val="00DE2B84"/>
    <w:rPr>
      <w:i/>
      <w:lang w:val="en-US" w:eastAsia="ja-JP"/>
    </w:rPr>
  </w:style>
  <w:style w:type="paragraph" w:customStyle="1" w:styleId="Insert0">
    <w:name w:val="提案Insert部分"/>
    <w:basedOn w:val="Normal"/>
    <w:link w:val="Insert"/>
    <w:qFormat/>
    <w:rsid w:val="00DE2B84"/>
    <w:pPr>
      <w:spacing w:after="120"/>
      <w:ind w:left="1134" w:right="1134"/>
    </w:pPr>
    <w:rPr>
      <w:i/>
      <w:lang w:val="en-US" w:eastAsia="ja-JP"/>
    </w:rPr>
  </w:style>
  <w:style w:type="character" w:customStyle="1" w:styleId="Carpredefinitoparagrafo1">
    <w:name w:val="Car. predefinito paragrafo1"/>
    <w:rsid w:val="007A6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4F148790-BAB9-41B2-8A1D-951C8D1D9FFC}">
  <ds:schemaRefs>
    <ds:schemaRef ds:uri="http://schemas.microsoft.com/sharepoint/v3/contenttype/forms"/>
  </ds:schemaRefs>
</ds:datastoreItem>
</file>

<file path=customXml/itemProps2.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customXml/itemProps3.xml><?xml version="1.0" encoding="utf-8"?>
<ds:datastoreItem xmlns:ds="http://schemas.openxmlformats.org/officeDocument/2006/customXml" ds:itemID="{ABA371D1-E97D-44FE-B7E4-068E0135E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00387-FD4B-4845-945E-B5C64D60C8E5}">
  <ds:schemaRefs>
    <ds:schemaRef ds:uri="http://purl.org/dc/dcmitype/"/>
    <ds:schemaRef ds:uri="http://purl.org/dc/elements/1.1/"/>
    <ds:schemaRef ds:uri="http://schemas.microsoft.com/office/2006/metadata/properties"/>
    <ds:schemaRef ds:uri="985ec44e-1bab-4c0b-9df0-6ba128686fc9"/>
    <ds:schemaRef ds:uri="http://schemas.openxmlformats.org/package/2006/metadata/core-properties"/>
    <ds:schemaRef ds:uri="4b4a1c0d-4a69-4996-a84a-fc699b9f49de"/>
    <ds:schemaRef ds:uri="http://purl.org/dc/terms/"/>
    <ds:schemaRef ds:uri="http://schemas.microsoft.com/office/2006/documentManagement/types"/>
    <ds:schemaRef ds:uri="http://schemas.microsoft.com/office/infopath/2007/PartnerControls"/>
    <ds:schemaRef ds:uri="acccb6d4-dbe5-46d2-b4d3-5733603d8cc6"/>
    <ds:schemaRef ds:uri="http://www.w3.org/XML/1998/namespace"/>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PlainPage_E.dot</Template>
  <TotalTime>0</TotalTime>
  <Pages>3</Pages>
  <Words>410</Words>
  <Characters>2196</Characters>
  <Application>Microsoft Office Word</Application>
  <DocSecurity>0</DocSecurity>
  <Lines>72</Lines>
  <Paragraphs>35</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2583</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ECE/TRANS/WP.29/GRE/2026/14</dc:title>
  <dc:subject>2601596</dc:subject>
  <dc:creator>AFTER JUNE</dc:creator>
  <cp:keywords/>
  <dc:description/>
  <cp:lastModifiedBy>Pauline Anne Escalante</cp:lastModifiedBy>
  <cp:revision>2</cp:revision>
  <cp:lastPrinted>2019-01-31T15:08:00Z</cp:lastPrinted>
  <dcterms:created xsi:type="dcterms:W3CDTF">2026-02-10T10:58:00Z</dcterms:created>
  <dcterms:modified xsi:type="dcterms:W3CDTF">2026-02-10T10:58:00Z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