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265150" w14:paraId="6AAC72D5" w14:textId="77777777" w:rsidTr="00B20551">
        <w:trPr>
          <w:cantSplit/>
          <w:trHeight w:hRule="exact" w:val="851"/>
        </w:trPr>
        <w:tc>
          <w:tcPr>
            <w:tcW w:w="1276" w:type="dxa"/>
            <w:tcBorders>
              <w:bottom w:val="single" w:sz="4" w:space="0" w:color="auto"/>
            </w:tcBorders>
            <w:vAlign w:val="bottom"/>
          </w:tcPr>
          <w:p w14:paraId="07831CE6" w14:textId="77777777" w:rsidR="009E6CB7" w:rsidRPr="00265150" w:rsidRDefault="009E6CB7" w:rsidP="00B20551">
            <w:pPr>
              <w:spacing w:after="80"/>
            </w:pPr>
          </w:p>
        </w:tc>
        <w:tc>
          <w:tcPr>
            <w:tcW w:w="2268" w:type="dxa"/>
            <w:tcBorders>
              <w:bottom w:val="single" w:sz="4" w:space="0" w:color="auto"/>
            </w:tcBorders>
            <w:vAlign w:val="bottom"/>
          </w:tcPr>
          <w:p w14:paraId="4BF865A4" w14:textId="77777777" w:rsidR="009E6CB7" w:rsidRPr="00265150" w:rsidRDefault="009E6CB7" w:rsidP="00B20551">
            <w:pPr>
              <w:spacing w:after="80" w:line="300" w:lineRule="exact"/>
              <w:rPr>
                <w:b/>
                <w:sz w:val="24"/>
                <w:szCs w:val="24"/>
              </w:rPr>
            </w:pPr>
            <w:r w:rsidRPr="00265150">
              <w:rPr>
                <w:sz w:val="28"/>
                <w:szCs w:val="28"/>
              </w:rPr>
              <w:t>United Nations</w:t>
            </w:r>
          </w:p>
        </w:tc>
        <w:tc>
          <w:tcPr>
            <w:tcW w:w="6095" w:type="dxa"/>
            <w:gridSpan w:val="2"/>
            <w:tcBorders>
              <w:bottom w:val="single" w:sz="4" w:space="0" w:color="auto"/>
            </w:tcBorders>
            <w:vAlign w:val="bottom"/>
          </w:tcPr>
          <w:p w14:paraId="1360265D" w14:textId="4DB0E33B" w:rsidR="009E6CB7" w:rsidRPr="00265150" w:rsidRDefault="0033402D" w:rsidP="0033402D">
            <w:pPr>
              <w:jc w:val="right"/>
            </w:pPr>
            <w:r w:rsidRPr="00265150">
              <w:rPr>
                <w:sz w:val="40"/>
              </w:rPr>
              <w:t>ECE</w:t>
            </w:r>
            <w:r w:rsidRPr="00265150">
              <w:t>/TRANS/WP.29/GRSG/2025/2</w:t>
            </w:r>
          </w:p>
        </w:tc>
      </w:tr>
      <w:tr w:rsidR="009E6CB7" w:rsidRPr="00265150" w14:paraId="35C625E3" w14:textId="77777777" w:rsidTr="00B20551">
        <w:trPr>
          <w:cantSplit/>
          <w:trHeight w:hRule="exact" w:val="2835"/>
        </w:trPr>
        <w:tc>
          <w:tcPr>
            <w:tcW w:w="1276" w:type="dxa"/>
            <w:tcBorders>
              <w:top w:val="single" w:sz="4" w:space="0" w:color="auto"/>
              <w:bottom w:val="single" w:sz="12" w:space="0" w:color="auto"/>
            </w:tcBorders>
          </w:tcPr>
          <w:p w14:paraId="74BE464B" w14:textId="77777777" w:rsidR="009E6CB7" w:rsidRPr="00265150" w:rsidRDefault="00686A48" w:rsidP="00B20551">
            <w:pPr>
              <w:spacing w:before="120"/>
            </w:pPr>
            <w:r w:rsidRPr="00265150">
              <w:rPr>
                <w:noProof/>
                <w:lang w:eastAsia="fr-CH"/>
              </w:rPr>
              <w:drawing>
                <wp:inline distT="0" distB="0" distL="0" distR="0" wp14:anchorId="0DCBEB71" wp14:editId="6314030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29BA12F" w14:textId="77777777" w:rsidR="009E6CB7" w:rsidRPr="00265150" w:rsidRDefault="009E6CB7" w:rsidP="00B20551">
            <w:pPr>
              <w:spacing w:before="120" w:line="420" w:lineRule="exact"/>
              <w:rPr>
                <w:sz w:val="40"/>
                <w:szCs w:val="40"/>
              </w:rPr>
            </w:pPr>
            <w:r w:rsidRPr="00265150">
              <w:rPr>
                <w:b/>
                <w:sz w:val="40"/>
                <w:szCs w:val="40"/>
              </w:rPr>
              <w:t>Economic and Social Council</w:t>
            </w:r>
          </w:p>
        </w:tc>
        <w:tc>
          <w:tcPr>
            <w:tcW w:w="2835" w:type="dxa"/>
            <w:tcBorders>
              <w:top w:val="single" w:sz="4" w:space="0" w:color="auto"/>
              <w:bottom w:val="single" w:sz="12" w:space="0" w:color="auto"/>
            </w:tcBorders>
          </w:tcPr>
          <w:p w14:paraId="49A0A5A6" w14:textId="77777777" w:rsidR="009E6CB7" w:rsidRPr="00265150" w:rsidRDefault="0033402D" w:rsidP="0033402D">
            <w:pPr>
              <w:spacing w:before="240" w:line="240" w:lineRule="exact"/>
            </w:pPr>
            <w:r w:rsidRPr="00265150">
              <w:t>Distr.: General</w:t>
            </w:r>
          </w:p>
          <w:p w14:paraId="1509B23F" w14:textId="72D40FA3" w:rsidR="0033402D" w:rsidRPr="00265150" w:rsidRDefault="00A95D7F" w:rsidP="0033402D">
            <w:pPr>
              <w:spacing w:line="240" w:lineRule="exact"/>
            </w:pPr>
            <w:r>
              <w:t>2</w:t>
            </w:r>
            <w:r w:rsidR="00E40FB3">
              <w:t>4</w:t>
            </w:r>
            <w:r w:rsidR="0033402D" w:rsidRPr="00265150">
              <w:t xml:space="preserve"> January 2025</w:t>
            </w:r>
          </w:p>
          <w:p w14:paraId="39225953" w14:textId="77777777" w:rsidR="0033402D" w:rsidRPr="00265150" w:rsidRDefault="0033402D" w:rsidP="0033402D">
            <w:pPr>
              <w:spacing w:line="240" w:lineRule="exact"/>
            </w:pPr>
          </w:p>
          <w:p w14:paraId="67835E51" w14:textId="47BDCABA" w:rsidR="0033402D" w:rsidRPr="00265150" w:rsidRDefault="0033402D" w:rsidP="0033402D">
            <w:pPr>
              <w:spacing w:line="240" w:lineRule="exact"/>
            </w:pPr>
            <w:r w:rsidRPr="00265150">
              <w:t>Original: English</w:t>
            </w:r>
          </w:p>
        </w:tc>
      </w:tr>
    </w:tbl>
    <w:p w14:paraId="1B16F671" w14:textId="77777777" w:rsidR="0033402D" w:rsidRPr="00265150" w:rsidRDefault="0033402D" w:rsidP="0033402D">
      <w:pPr>
        <w:spacing w:before="120"/>
        <w:rPr>
          <w:b/>
          <w:sz w:val="28"/>
          <w:szCs w:val="28"/>
        </w:rPr>
      </w:pPr>
      <w:r w:rsidRPr="00265150">
        <w:rPr>
          <w:b/>
          <w:sz w:val="28"/>
          <w:szCs w:val="28"/>
        </w:rPr>
        <w:t>Economic Commission for Europe</w:t>
      </w:r>
    </w:p>
    <w:p w14:paraId="5AF91775" w14:textId="77777777" w:rsidR="0033402D" w:rsidRPr="00265150" w:rsidRDefault="0033402D" w:rsidP="0033402D">
      <w:pPr>
        <w:spacing w:before="120"/>
        <w:rPr>
          <w:sz w:val="28"/>
          <w:szCs w:val="28"/>
        </w:rPr>
      </w:pPr>
      <w:r w:rsidRPr="00265150">
        <w:rPr>
          <w:sz w:val="28"/>
          <w:szCs w:val="28"/>
        </w:rPr>
        <w:t>Inland Transport Committee</w:t>
      </w:r>
    </w:p>
    <w:p w14:paraId="2105BC25" w14:textId="77777777" w:rsidR="0033402D" w:rsidRPr="00265150" w:rsidRDefault="0033402D" w:rsidP="0033402D">
      <w:pPr>
        <w:spacing w:before="120"/>
        <w:rPr>
          <w:b/>
          <w:sz w:val="24"/>
          <w:szCs w:val="24"/>
        </w:rPr>
      </w:pPr>
      <w:r w:rsidRPr="00265150">
        <w:rPr>
          <w:b/>
          <w:sz w:val="24"/>
          <w:szCs w:val="24"/>
        </w:rPr>
        <w:t>World Forum for Harmonization of Vehicle Regulations</w:t>
      </w:r>
    </w:p>
    <w:p w14:paraId="740FACB5" w14:textId="77777777" w:rsidR="0033402D" w:rsidRPr="00265150" w:rsidRDefault="0033402D" w:rsidP="0033402D">
      <w:pPr>
        <w:spacing w:before="120"/>
        <w:rPr>
          <w:b/>
        </w:rPr>
      </w:pPr>
      <w:r w:rsidRPr="00265150">
        <w:rPr>
          <w:b/>
        </w:rPr>
        <w:t>Working Party on General Safety Provisions</w:t>
      </w:r>
    </w:p>
    <w:p w14:paraId="186190B8" w14:textId="77777777" w:rsidR="0033402D" w:rsidRPr="00265150" w:rsidRDefault="0033402D" w:rsidP="0033402D">
      <w:pPr>
        <w:spacing w:before="120"/>
        <w:rPr>
          <w:b/>
        </w:rPr>
      </w:pPr>
      <w:r w:rsidRPr="00265150">
        <w:rPr>
          <w:b/>
        </w:rPr>
        <w:t>12</w:t>
      </w:r>
      <w:r w:rsidRPr="00265150">
        <w:rPr>
          <w:b/>
          <w:lang w:eastAsia="ja-JP"/>
        </w:rPr>
        <w:t>9</w:t>
      </w:r>
      <w:r w:rsidRPr="00A95D7F">
        <w:rPr>
          <w:b/>
          <w:lang w:eastAsia="ja-JP"/>
        </w:rPr>
        <w:t>th</w:t>
      </w:r>
      <w:r w:rsidRPr="00265150">
        <w:rPr>
          <w:b/>
          <w:lang w:eastAsia="ja-JP"/>
        </w:rPr>
        <w:t xml:space="preserve"> </w:t>
      </w:r>
      <w:r w:rsidRPr="00265150">
        <w:rPr>
          <w:b/>
        </w:rPr>
        <w:t>session</w:t>
      </w:r>
    </w:p>
    <w:p w14:paraId="71F9AB26" w14:textId="77777777" w:rsidR="0033402D" w:rsidRPr="00265150" w:rsidRDefault="0033402D" w:rsidP="0033402D">
      <w:pPr>
        <w:rPr>
          <w:lang w:eastAsia="ja-JP"/>
        </w:rPr>
      </w:pPr>
      <w:r w:rsidRPr="00265150">
        <w:t xml:space="preserve">Geneva, </w:t>
      </w:r>
      <w:r w:rsidRPr="00265150">
        <w:rPr>
          <w:lang w:eastAsia="ja-JP"/>
        </w:rPr>
        <w:t>7</w:t>
      </w:r>
      <w:r w:rsidRPr="00265150">
        <w:t>–</w:t>
      </w:r>
      <w:r w:rsidRPr="00265150">
        <w:rPr>
          <w:lang w:eastAsia="ja-JP"/>
        </w:rPr>
        <w:t>11</w:t>
      </w:r>
      <w:r w:rsidRPr="00265150">
        <w:t xml:space="preserve"> </w:t>
      </w:r>
      <w:r w:rsidRPr="00265150">
        <w:rPr>
          <w:lang w:eastAsia="ja-JP"/>
        </w:rPr>
        <w:t xml:space="preserve">April </w:t>
      </w:r>
      <w:r w:rsidRPr="00265150">
        <w:t>202</w:t>
      </w:r>
      <w:r w:rsidRPr="00265150">
        <w:rPr>
          <w:lang w:eastAsia="ja-JP"/>
        </w:rPr>
        <w:t>5</w:t>
      </w:r>
    </w:p>
    <w:p w14:paraId="1227B583" w14:textId="77777777" w:rsidR="0033402D" w:rsidRPr="00265150" w:rsidRDefault="0033402D" w:rsidP="0033402D">
      <w:r w:rsidRPr="00265150">
        <w:t>Item 17 (d) of the provisional agenda</w:t>
      </w:r>
    </w:p>
    <w:p w14:paraId="186B1ADD" w14:textId="63BA123C" w:rsidR="0033402D" w:rsidRPr="00265150" w:rsidRDefault="00672694" w:rsidP="0033402D">
      <w:pPr>
        <w:rPr>
          <w:b/>
          <w:bCs/>
        </w:rPr>
      </w:pPr>
      <w:bookmarkStart w:id="0" w:name="OLE_LINK2"/>
      <w:bookmarkStart w:id="1" w:name="OLE_LINK1"/>
      <w:r w:rsidRPr="00F60022">
        <w:t>Other Business:</w:t>
      </w:r>
      <w:r>
        <w:t xml:space="preserve"> </w:t>
      </w:r>
      <w:r w:rsidR="0033402D" w:rsidRPr="00265150">
        <w:rPr>
          <w:b/>
          <w:bCs/>
        </w:rPr>
        <w:t xml:space="preserve">UN Regulation No. 62 (Protection against </w:t>
      </w:r>
      <w:r w:rsidR="00265150" w:rsidRPr="00265150">
        <w:rPr>
          <w:b/>
          <w:bCs/>
        </w:rPr>
        <w:t xml:space="preserve">Unauthorized Use </w:t>
      </w:r>
      <w:r w:rsidR="0033402D" w:rsidRPr="00265150">
        <w:rPr>
          <w:b/>
          <w:bCs/>
        </w:rPr>
        <w:t xml:space="preserve">for </w:t>
      </w:r>
      <w:r w:rsidR="00265150" w:rsidRPr="00265150">
        <w:rPr>
          <w:b/>
          <w:bCs/>
        </w:rPr>
        <w:t xml:space="preserve">Vehicles </w:t>
      </w:r>
      <w:r w:rsidR="0033402D" w:rsidRPr="00265150">
        <w:rPr>
          <w:b/>
          <w:bCs/>
        </w:rPr>
        <w:br/>
        <w:t xml:space="preserve">of </w:t>
      </w:r>
      <w:r w:rsidR="00265150" w:rsidRPr="00265150">
        <w:rPr>
          <w:b/>
          <w:bCs/>
        </w:rPr>
        <w:t xml:space="preserve">Categories </w:t>
      </w:r>
      <w:r w:rsidR="0033402D" w:rsidRPr="00265150">
        <w:rPr>
          <w:b/>
          <w:bCs/>
        </w:rPr>
        <w:t>L</w:t>
      </w:r>
      <w:r w:rsidR="0033402D" w:rsidRPr="00265150">
        <w:rPr>
          <w:b/>
          <w:bCs/>
          <w:vertAlign w:val="subscript"/>
        </w:rPr>
        <w:t>1</w:t>
      </w:r>
      <w:r w:rsidR="0033402D" w:rsidRPr="00265150">
        <w:rPr>
          <w:b/>
          <w:bCs/>
        </w:rPr>
        <w:t xml:space="preserve"> – L</w:t>
      </w:r>
      <w:r w:rsidR="0033402D" w:rsidRPr="00265150">
        <w:rPr>
          <w:b/>
          <w:bCs/>
          <w:vertAlign w:val="subscript"/>
        </w:rPr>
        <w:t>7</w:t>
      </w:r>
      <w:r w:rsidR="0033402D" w:rsidRPr="00265150">
        <w:rPr>
          <w:b/>
          <w:bCs/>
        </w:rPr>
        <w:t xml:space="preserve"> </w:t>
      </w:r>
      <w:r w:rsidR="00265150" w:rsidRPr="00265150">
        <w:rPr>
          <w:b/>
          <w:bCs/>
        </w:rPr>
        <w:t xml:space="preserve">Fitted </w:t>
      </w:r>
      <w:r w:rsidR="0033402D" w:rsidRPr="00265150">
        <w:rPr>
          <w:b/>
          <w:bCs/>
        </w:rPr>
        <w:t xml:space="preserve">with </w:t>
      </w:r>
      <w:r w:rsidR="00265150" w:rsidRPr="00265150">
        <w:rPr>
          <w:b/>
          <w:bCs/>
        </w:rPr>
        <w:t>Handlebars</w:t>
      </w:r>
      <w:r w:rsidR="0033402D" w:rsidRPr="00265150">
        <w:rPr>
          <w:b/>
          <w:bCs/>
        </w:rPr>
        <w:t>)</w:t>
      </w:r>
      <w:bookmarkEnd w:id="0"/>
    </w:p>
    <w:bookmarkEnd w:id="1"/>
    <w:p w14:paraId="5FF25392" w14:textId="4496C040" w:rsidR="0033402D" w:rsidRPr="00265150" w:rsidRDefault="0033402D" w:rsidP="0033402D">
      <w:pPr>
        <w:pStyle w:val="HChG"/>
        <w:ind w:left="1124" w:right="1138" w:firstLine="0"/>
        <w:rPr>
          <w:szCs w:val="28"/>
        </w:rPr>
      </w:pPr>
      <w:r w:rsidRPr="00265150">
        <w:tab/>
      </w:r>
      <w:r w:rsidRPr="00265150">
        <w:rPr>
          <w:szCs w:val="28"/>
        </w:rPr>
        <w:t xml:space="preserve">Proposal for a </w:t>
      </w:r>
      <w:r w:rsidR="00265150" w:rsidRPr="00265150">
        <w:rPr>
          <w:szCs w:val="28"/>
        </w:rPr>
        <w:t xml:space="preserve">New </w:t>
      </w:r>
      <w:r w:rsidRPr="00265150">
        <w:rPr>
          <w:szCs w:val="28"/>
        </w:rPr>
        <w:t xml:space="preserve">Supplement to the 01 Series of Amendments to UN Regulation No. 62 (Protection against </w:t>
      </w:r>
      <w:r w:rsidR="00265150" w:rsidRPr="00265150">
        <w:rPr>
          <w:szCs w:val="28"/>
        </w:rPr>
        <w:t xml:space="preserve">Unauthorized Use </w:t>
      </w:r>
      <w:r w:rsidRPr="00265150">
        <w:rPr>
          <w:szCs w:val="28"/>
        </w:rPr>
        <w:t xml:space="preserve">for </w:t>
      </w:r>
      <w:r w:rsidR="00265150" w:rsidRPr="00265150">
        <w:rPr>
          <w:szCs w:val="28"/>
        </w:rPr>
        <w:t xml:space="preserve">Vehicles </w:t>
      </w:r>
      <w:r w:rsidRPr="00265150">
        <w:rPr>
          <w:szCs w:val="28"/>
        </w:rPr>
        <w:t xml:space="preserve">of </w:t>
      </w:r>
      <w:r w:rsidR="00265150" w:rsidRPr="00265150">
        <w:rPr>
          <w:szCs w:val="28"/>
        </w:rPr>
        <w:t xml:space="preserve">Categories </w:t>
      </w:r>
      <w:r w:rsidRPr="00265150">
        <w:rPr>
          <w:szCs w:val="28"/>
        </w:rPr>
        <w:t>L</w:t>
      </w:r>
      <w:r w:rsidRPr="00265150">
        <w:rPr>
          <w:szCs w:val="28"/>
          <w:vertAlign w:val="subscript"/>
        </w:rPr>
        <w:t>1</w:t>
      </w:r>
      <w:r w:rsidRPr="00265150">
        <w:rPr>
          <w:szCs w:val="28"/>
        </w:rPr>
        <w:t xml:space="preserve"> – L</w:t>
      </w:r>
      <w:r w:rsidRPr="00265150">
        <w:rPr>
          <w:szCs w:val="28"/>
          <w:vertAlign w:val="subscript"/>
        </w:rPr>
        <w:t>7</w:t>
      </w:r>
      <w:r w:rsidRPr="00265150">
        <w:rPr>
          <w:szCs w:val="28"/>
        </w:rPr>
        <w:t xml:space="preserve"> </w:t>
      </w:r>
      <w:r w:rsidR="00265150" w:rsidRPr="00265150">
        <w:rPr>
          <w:szCs w:val="28"/>
        </w:rPr>
        <w:t xml:space="preserve">Fitted </w:t>
      </w:r>
      <w:r w:rsidRPr="00265150">
        <w:rPr>
          <w:szCs w:val="28"/>
        </w:rPr>
        <w:t xml:space="preserve">with </w:t>
      </w:r>
      <w:r w:rsidR="00265150" w:rsidRPr="00265150">
        <w:rPr>
          <w:szCs w:val="28"/>
        </w:rPr>
        <w:t>Handlebars</w:t>
      </w:r>
      <w:r w:rsidRPr="00265150">
        <w:rPr>
          <w:szCs w:val="28"/>
        </w:rPr>
        <w:t xml:space="preserve">) </w:t>
      </w:r>
    </w:p>
    <w:p w14:paraId="6E7CE639" w14:textId="48C4C56F" w:rsidR="0033402D" w:rsidRPr="00265150" w:rsidRDefault="0033402D" w:rsidP="0033402D">
      <w:pPr>
        <w:pStyle w:val="H1G"/>
        <w:rPr>
          <w:szCs w:val="24"/>
        </w:rPr>
      </w:pPr>
      <w:r w:rsidRPr="00265150">
        <w:tab/>
      </w:r>
      <w:r w:rsidRPr="00265150">
        <w:tab/>
      </w:r>
      <w:r w:rsidRPr="00265150">
        <w:rPr>
          <w:szCs w:val="24"/>
        </w:rPr>
        <w:t xml:space="preserve">Submitted by the expert from the International Motorcycle Manufacturers’ Association </w:t>
      </w:r>
      <w:r w:rsidRPr="00265150">
        <w:footnoteReference w:customMarkFollows="1" w:id="2"/>
        <w:t>*</w:t>
      </w:r>
    </w:p>
    <w:p w14:paraId="4898FEE9" w14:textId="48F32FC7" w:rsidR="0033402D" w:rsidRPr="00265150" w:rsidRDefault="0033402D" w:rsidP="0033402D">
      <w:pPr>
        <w:pStyle w:val="SingleTxtG"/>
        <w:ind w:left="1138" w:right="1138" w:firstLine="563"/>
      </w:pPr>
      <w:r w:rsidRPr="00265150">
        <w:t xml:space="preserve">The text reproduced below was prepared by the experts from </w:t>
      </w:r>
      <w:r w:rsidR="00265150">
        <w:t xml:space="preserve">the </w:t>
      </w:r>
      <w:r w:rsidRPr="00265150">
        <w:rPr>
          <w:szCs w:val="24"/>
        </w:rPr>
        <w:t>International Motorcycle Manufacturers’ Association</w:t>
      </w:r>
      <w:r w:rsidRPr="00265150">
        <w:t xml:space="preserve"> (IMMA) to amend UN Regulation No. 62 </w:t>
      </w:r>
      <w:r w:rsidR="00265150">
        <w:t xml:space="preserve">to </w:t>
      </w:r>
      <w:r w:rsidRPr="00265150">
        <w:t>aim of appl</w:t>
      </w:r>
      <w:r w:rsidR="00265150">
        <w:t>ication of</w:t>
      </w:r>
      <w:r w:rsidRPr="00265150">
        <w:t xml:space="preserve"> the virtual key to category L</w:t>
      </w:r>
      <w:r w:rsidRPr="00265150">
        <w:rPr>
          <w:lang w:eastAsia="ja-JP"/>
        </w:rPr>
        <w:t xml:space="preserve">, based on the discussion held </w:t>
      </w:r>
      <w:r w:rsidR="00265150">
        <w:rPr>
          <w:lang w:eastAsia="ja-JP"/>
        </w:rPr>
        <w:t xml:space="preserve">at </w:t>
      </w:r>
      <w:r w:rsidRPr="00265150">
        <w:rPr>
          <w:lang w:eastAsia="ja-JP"/>
        </w:rPr>
        <w:t>the 128</w:t>
      </w:r>
      <w:r w:rsidRPr="00572C2C">
        <w:rPr>
          <w:lang w:eastAsia="ja-JP"/>
        </w:rPr>
        <w:t>th</w:t>
      </w:r>
      <w:r w:rsidRPr="00265150">
        <w:rPr>
          <w:lang w:eastAsia="ja-JP"/>
        </w:rPr>
        <w:t xml:space="preserve"> session of the Working Party on General Safety Provisions (GRSG) (</w:t>
      </w:r>
      <w:r w:rsidRPr="00265150">
        <w:t>ECE/TRANS/WP.29/GRSG/107, para</w:t>
      </w:r>
      <w:r w:rsidR="00265150">
        <w:t>graph</w:t>
      </w:r>
      <w:r w:rsidRPr="00265150">
        <w:t xml:space="preserve"> 49). The modifications to the current text of the UN Regulation are marked in bold</w:t>
      </w:r>
      <w:r w:rsidRPr="00265150">
        <w:rPr>
          <w:b/>
          <w:bCs/>
        </w:rPr>
        <w:t xml:space="preserve"> </w:t>
      </w:r>
      <w:r w:rsidRPr="00265150">
        <w:t>for new and strikethrough for deleted characters.</w:t>
      </w:r>
    </w:p>
    <w:p w14:paraId="30780132" w14:textId="77777777" w:rsidR="0033402D" w:rsidRPr="00265150" w:rsidRDefault="0033402D" w:rsidP="0033402D">
      <w:pPr>
        <w:spacing w:after="200" w:line="276" w:lineRule="auto"/>
      </w:pPr>
      <w:r w:rsidRPr="00265150">
        <w:br w:type="page"/>
      </w:r>
    </w:p>
    <w:p w14:paraId="06D298C2" w14:textId="77777777" w:rsidR="0033402D" w:rsidRPr="00265150" w:rsidRDefault="0033402D" w:rsidP="0033402D">
      <w:pPr>
        <w:keepNext/>
        <w:keepLines/>
        <w:tabs>
          <w:tab w:val="right" w:pos="851"/>
        </w:tabs>
        <w:spacing w:before="360" w:after="240" w:line="300" w:lineRule="exact"/>
        <w:ind w:left="1134" w:right="521" w:hanging="1134"/>
        <w:jc w:val="both"/>
        <w:rPr>
          <w:b/>
          <w:sz w:val="28"/>
        </w:rPr>
      </w:pPr>
      <w:r w:rsidRPr="00265150">
        <w:rPr>
          <w:spacing w:val="1"/>
        </w:rPr>
        <w:lastRenderedPageBreak/>
        <w:tab/>
      </w:r>
      <w:r w:rsidRPr="00265150">
        <w:rPr>
          <w:b/>
          <w:sz w:val="28"/>
        </w:rPr>
        <w:t>I.</w:t>
      </w:r>
      <w:r w:rsidRPr="00265150">
        <w:rPr>
          <w:b/>
          <w:sz w:val="28"/>
        </w:rPr>
        <w:tab/>
        <w:t>Proposal</w:t>
      </w:r>
    </w:p>
    <w:p w14:paraId="583B09CA" w14:textId="77777777" w:rsidR="0033402D" w:rsidRPr="00265150" w:rsidRDefault="0033402D" w:rsidP="0033402D">
      <w:pPr>
        <w:keepNext/>
        <w:keepLines/>
        <w:autoSpaceDE w:val="0"/>
        <w:autoSpaceDN w:val="0"/>
        <w:adjustRightInd w:val="0"/>
        <w:spacing w:after="120" w:line="240" w:lineRule="auto"/>
        <w:ind w:left="1134" w:right="708"/>
        <w:jc w:val="both"/>
        <w:rPr>
          <w:lang w:eastAsia="en-US"/>
        </w:rPr>
      </w:pPr>
      <w:r w:rsidRPr="00265150">
        <w:rPr>
          <w:i/>
          <w:iCs/>
          <w:lang w:eastAsia="nl-NL"/>
        </w:rPr>
        <w:t>Insert</w:t>
      </w:r>
      <w:r w:rsidRPr="00265150">
        <w:rPr>
          <w:i/>
          <w:iCs/>
        </w:rPr>
        <w:t xml:space="preserve"> new paragraphs 2.6. – 2.9.</w:t>
      </w:r>
      <w:r w:rsidRPr="00265150">
        <w:t>, to read:</w:t>
      </w:r>
    </w:p>
    <w:p w14:paraId="6BF376E0" w14:textId="77777777" w:rsidR="0033402D" w:rsidRPr="00265150" w:rsidRDefault="0033402D" w:rsidP="003C429F">
      <w:pPr>
        <w:spacing w:after="120"/>
        <w:ind w:left="2268" w:right="1134" w:hanging="1134"/>
        <w:jc w:val="both"/>
        <w:rPr>
          <w:rFonts w:eastAsiaTheme="minorHAnsi"/>
          <w:b/>
        </w:rPr>
      </w:pPr>
      <w:r w:rsidRPr="00265150">
        <w:rPr>
          <w:rFonts w:eastAsiaTheme="minorHAnsi"/>
          <w:bCs/>
        </w:rPr>
        <w:t>"</w:t>
      </w:r>
      <w:r w:rsidRPr="00265150">
        <w:rPr>
          <w:rFonts w:eastAsiaTheme="minorHAnsi"/>
          <w:b/>
        </w:rPr>
        <w:t>2.6.</w:t>
      </w:r>
      <w:r w:rsidRPr="00265150">
        <w:rPr>
          <w:rFonts w:eastAsiaTheme="minorHAnsi"/>
          <w:b/>
        </w:rPr>
        <w:tab/>
        <w:t>"</w:t>
      </w:r>
      <w:r w:rsidRPr="00265150">
        <w:rPr>
          <w:rFonts w:eastAsiaTheme="minorHAnsi"/>
          <w:b/>
          <w:i/>
          <w:iCs/>
        </w:rPr>
        <w:t>Key</w:t>
      </w:r>
      <w:r w:rsidRPr="00265150">
        <w:rPr>
          <w:rFonts w:eastAsiaTheme="minorHAnsi"/>
          <w:b/>
        </w:rPr>
        <w:t xml:space="preserve">" means any mechanical and/or electronic solution designed and constructed to provide a method of operating a locking system which is designed and constructed to be operated by that mechanical </w:t>
      </w:r>
      <w:r w:rsidRPr="003C429F">
        <w:rPr>
          <w:rFonts w:eastAsiaTheme="minorHAnsi"/>
          <w:b/>
        </w:rPr>
        <w:t>and/or</w:t>
      </w:r>
      <w:r w:rsidRPr="00265150">
        <w:rPr>
          <w:rFonts w:eastAsiaTheme="minorHAnsi"/>
          <w:b/>
        </w:rPr>
        <w:t xml:space="preserve"> electronic solution.</w:t>
      </w:r>
    </w:p>
    <w:p w14:paraId="7624702C"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2.7.</w:t>
      </w:r>
      <w:r w:rsidRPr="00265150">
        <w:rPr>
          <w:rFonts w:eastAsiaTheme="minorHAnsi"/>
          <w:b/>
        </w:rPr>
        <w:tab/>
        <w:t>"</w:t>
      </w:r>
      <w:r w:rsidRPr="00265150">
        <w:rPr>
          <w:rFonts w:eastAsiaTheme="minorHAnsi"/>
          <w:b/>
          <w:i/>
          <w:iCs/>
        </w:rPr>
        <w:t>Primary user</w:t>
      </w:r>
      <w:r w:rsidRPr="00265150">
        <w:rPr>
          <w:rFonts w:eastAsiaTheme="minorHAnsi"/>
          <w:b/>
        </w:rPr>
        <w:t>" is a user who is able to authorize digital keys. There can be more than one primary users.</w:t>
      </w:r>
    </w:p>
    <w:p w14:paraId="6EF0517A"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2.8.</w:t>
      </w:r>
      <w:r w:rsidRPr="00265150">
        <w:rPr>
          <w:rFonts w:eastAsiaTheme="minorHAnsi"/>
          <w:b/>
        </w:rPr>
        <w:tab/>
        <w:t>"</w:t>
      </w:r>
      <w:r w:rsidRPr="00265150">
        <w:rPr>
          <w:rFonts w:eastAsiaTheme="minorHAnsi"/>
          <w:b/>
          <w:i/>
          <w:iCs/>
        </w:rPr>
        <w:t>Digital key</w:t>
      </w:r>
      <w:r w:rsidRPr="00265150">
        <w:rPr>
          <w:rFonts w:eastAsiaTheme="minorHAnsi"/>
          <w:b/>
        </w:rPr>
        <w:t xml:space="preserve">" means a key designed to be transferred to multiple devices by the primary user(s) through dedicated processes. </w:t>
      </w:r>
    </w:p>
    <w:p w14:paraId="14729B27" w14:textId="77777777" w:rsidR="0033402D" w:rsidRPr="00265150" w:rsidRDefault="0033402D" w:rsidP="0033402D">
      <w:pPr>
        <w:spacing w:after="120"/>
        <w:ind w:left="2268" w:right="708" w:hanging="1134"/>
        <w:jc w:val="both"/>
        <w:rPr>
          <w:rFonts w:eastAsiaTheme="minorHAnsi"/>
          <w:bCs/>
        </w:rPr>
      </w:pPr>
      <w:r w:rsidRPr="00265150">
        <w:rPr>
          <w:rFonts w:eastAsiaTheme="minorHAnsi"/>
          <w:b/>
        </w:rPr>
        <w:t>2.9.</w:t>
      </w:r>
      <w:r w:rsidRPr="00265150">
        <w:rPr>
          <w:rFonts w:eastAsiaTheme="minorHAnsi"/>
          <w:b/>
        </w:rPr>
        <w:tab/>
        <w:t>"</w:t>
      </w:r>
      <w:r w:rsidRPr="00265150">
        <w:rPr>
          <w:rFonts w:eastAsiaTheme="minorHAnsi"/>
          <w:b/>
          <w:i/>
          <w:iCs/>
        </w:rPr>
        <w:t>Close proximity</w:t>
      </w:r>
      <w:r w:rsidRPr="00265150">
        <w:rPr>
          <w:rFonts w:eastAsiaTheme="minorHAnsi"/>
          <w:b/>
        </w:rPr>
        <w:t>" means a distance of less than 6 m.</w:t>
      </w:r>
      <w:r w:rsidRPr="00265150">
        <w:rPr>
          <w:rFonts w:eastAsiaTheme="minorHAnsi"/>
          <w:bCs/>
        </w:rPr>
        <w:t>"</w:t>
      </w:r>
    </w:p>
    <w:p w14:paraId="0BB6D4F4" w14:textId="77777777" w:rsidR="0033402D" w:rsidRPr="00265150" w:rsidRDefault="0033402D" w:rsidP="0033402D">
      <w:pPr>
        <w:keepNext/>
        <w:keepLines/>
        <w:autoSpaceDE w:val="0"/>
        <w:autoSpaceDN w:val="0"/>
        <w:adjustRightInd w:val="0"/>
        <w:spacing w:after="120" w:line="240" w:lineRule="auto"/>
        <w:ind w:left="1134" w:right="708"/>
        <w:jc w:val="both"/>
        <w:rPr>
          <w:iCs/>
          <w:lang w:eastAsia="nl-NL"/>
        </w:rPr>
      </w:pPr>
      <w:r w:rsidRPr="00265150">
        <w:rPr>
          <w:i/>
          <w:iCs/>
          <w:lang w:eastAsia="nl-NL"/>
        </w:rPr>
        <w:t xml:space="preserve">Paragraph 5.11., </w:t>
      </w:r>
      <w:r w:rsidRPr="00265150">
        <w:rPr>
          <w:iCs/>
          <w:lang w:eastAsia="nl-NL"/>
        </w:rPr>
        <w:t>amend to read:</w:t>
      </w:r>
    </w:p>
    <w:p w14:paraId="00144772" w14:textId="77777777" w:rsidR="0033402D" w:rsidRPr="00265150" w:rsidRDefault="0033402D" w:rsidP="0033402D">
      <w:pPr>
        <w:spacing w:after="120"/>
        <w:ind w:left="2268" w:right="708" w:hanging="1134"/>
        <w:jc w:val="both"/>
        <w:rPr>
          <w:rFonts w:eastAsiaTheme="minorHAnsi"/>
          <w:bCs/>
          <w:lang w:eastAsia="en-US"/>
        </w:rPr>
      </w:pPr>
      <w:r w:rsidRPr="00265150">
        <w:rPr>
          <w:rFonts w:eastAsiaTheme="minorHAnsi"/>
          <w:bCs/>
        </w:rPr>
        <w:t xml:space="preserve">"5.11. </w:t>
      </w:r>
      <w:r w:rsidRPr="00265150">
        <w:rPr>
          <w:rFonts w:eastAsiaTheme="minorHAnsi"/>
          <w:bCs/>
        </w:rPr>
        <w:tab/>
        <w:t xml:space="preserve">Electromechanical and electronic devices to prevent unauthorized use </w:t>
      </w:r>
    </w:p>
    <w:p w14:paraId="250599BC" w14:textId="77777777" w:rsidR="0033402D" w:rsidRPr="00265150" w:rsidRDefault="0033402D" w:rsidP="003C429F">
      <w:pPr>
        <w:spacing w:after="120"/>
        <w:ind w:left="2268" w:right="1134" w:hanging="1134"/>
        <w:jc w:val="both"/>
        <w:rPr>
          <w:rFonts w:eastAsiaTheme="minorHAnsi"/>
          <w:bCs/>
        </w:rPr>
      </w:pPr>
      <w:r w:rsidRPr="00265150">
        <w:rPr>
          <w:rFonts w:eastAsiaTheme="minorHAnsi"/>
          <w:bCs/>
        </w:rPr>
        <w:tab/>
        <w:t>Electromechanical and electronic devices to prevent unauthorized use, where fitted, shall comply with the requirements of paragraphs 5. and 6., mutatis mutandis.</w:t>
      </w:r>
    </w:p>
    <w:p w14:paraId="62E7996A" w14:textId="77777777" w:rsidR="0033402D" w:rsidRPr="00265150" w:rsidRDefault="0033402D" w:rsidP="003C429F">
      <w:pPr>
        <w:spacing w:after="120"/>
        <w:ind w:left="2268" w:right="1134" w:hanging="1134"/>
        <w:jc w:val="both"/>
        <w:rPr>
          <w:rFonts w:eastAsiaTheme="minorHAnsi"/>
          <w:b/>
        </w:rPr>
      </w:pPr>
      <w:r w:rsidRPr="00265150">
        <w:rPr>
          <w:rFonts w:eastAsiaTheme="minorHAnsi"/>
          <w:bCs/>
        </w:rPr>
        <w:tab/>
      </w:r>
      <w:bookmarkStart w:id="2" w:name="OLE_LINK16"/>
      <w:r w:rsidRPr="00265150">
        <w:rPr>
          <w:rFonts w:eastAsiaTheme="minorHAnsi"/>
          <w:b/>
        </w:rPr>
        <w:t xml:space="preserve">Components that are not embedded in the vehicle (e.g. keys, which are used for </w:t>
      </w:r>
      <w:r w:rsidRPr="003C429F">
        <w:rPr>
          <w:rFonts w:eastAsiaTheme="minorHAnsi"/>
          <w:b/>
        </w:rPr>
        <w:t>activation/deactivation)</w:t>
      </w:r>
      <w:r w:rsidRPr="00265150">
        <w:rPr>
          <w:rFonts w:eastAsiaTheme="minorHAnsi"/>
          <w:b/>
        </w:rPr>
        <w:t xml:space="preserve"> need not to comply with the test requirements described in</w:t>
      </w:r>
      <w:bookmarkStart w:id="3" w:name="OLE_LINK17"/>
      <w:r w:rsidRPr="00265150">
        <w:rPr>
          <w:rFonts w:eastAsiaTheme="minorHAnsi"/>
          <w:b/>
        </w:rPr>
        <w:t xml:space="preserve"> paragraphs 5. and 6.</w:t>
      </w:r>
      <w:bookmarkEnd w:id="3"/>
    </w:p>
    <w:bookmarkEnd w:id="2"/>
    <w:p w14:paraId="69F54FFF" w14:textId="77777777" w:rsidR="0033402D" w:rsidRPr="00265150" w:rsidRDefault="0033402D" w:rsidP="003C429F">
      <w:pPr>
        <w:spacing w:after="120"/>
        <w:ind w:left="2268" w:right="1134" w:hanging="1134"/>
        <w:jc w:val="both"/>
        <w:rPr>
          <w:rFonts w:eastAsiaTheme="minorHAnsi"/>
          <w:bCs/>
        </w:rPr>
      </w:pPr>
      <w:r w:rsidRPr="00265150">
        <w:rPr>
          <w:rFonts w:eastAsiaTheme="minorHAnsi"/>
          <w:bCs/>
        </w:rPr>
        <w:tab/>
        <w:t>If the technology of the device is such that paragraphs 5. and 6. are not applicable, it shall be verified that care has been taken to preserve safety of the vehicle. The functioning process of these devices shall incorporate secure means to prevent any risk of blocking or accidental dysfunction that could compromise the safety of the vehicle."</w:t>
      </w:r>
    </w:p>
    <w:p w14:paraId="030AD756" w14:textId="77777777" w:rsidR="0033402D" w:rsidRPr="00265150" w:rsidRDefault="0033402D" w:rsidP="0033402D">
      <w:pPr>
        <w:spacing w:after="120"/>
        <w:ind w:left="2268" w:right="708" w:hanging="1134"/>
        <w:jc w:val="both"/>
        <w:rPr>
          <w:iCs/>
          <w:lang w:eastAsia="nl-NL"/>
        </w:rPr>
      </w:pPr>
      <w:r w:rsidRPr="00265150">
        <w:rPr>
          <w:i/>
          <w:iCs/>
          <w:lang w:eastAsia="nl-NL"/>
        </w:rPr>
        <w:t xml:space="preserve">Insert a new paragraph 5.13., </w:t>
      </w:r>
      <w:r w:rsidRPr="00265150">
        <w:rPr>
          <w:lang w:eastAsia="nl-NL"/>
        </w:rPr>
        <w:t>to read:</w:t>
      </w:r>
    </w:p>
    <w:p w14:paraId="51F3AEB8" w14:textId="77777777" w:rsidR="0033402D" w:rsidRPr="00265150" w:rsidRDefault="0033402D" w:rsidP="0033402D">
      <w:pPr>
        <w:spacing w:after="120"/>
        <w:ind w:left="2268" w:right="708" w:hanging="1134"/>
        <w:jc w:val="both"/>
        <w:rPr>
          <w:rFonts w:eastAsiaTheme="minorHAnsi"/>
          <w:bCs/>
          <w:lang w:eastAsia="en-US"/>
        </w:rPr>
      </w:pPr>
      <w:r w:rsidRPr="00265150">
        <w:rPr>
          <w:rFonts w:eastAsiaTheme="minorHAnsi"/>
          <w:bCs/>
        </w:rPr>
        <w:t>"</w:t>
      </w:r>
      <w:r w:rsidRPr="00265150">
        <w:rPr>
          <w:rFonts w:eastAsiaTheme="minorHAnsi"/>
          <w:b/>
          <w:bCs/>
        </w:rPr>
        <w:t>5.13.</w:t>
      </w:r>
      <w:r w:rsidRPr="00265150">
        <w:rPr>
          <w:rFonts w:eastAsiaTheme="minorHAnsi"/>
          <w:b/>
          <w:bCs/>
        </w:rPr>
        <w:tab/>
        <w:t>In addition, digital keys shall comply with the provisions of Annex 4.</w:t>
      </w:r>
      <w:r w:rsidRPr="00265150">
        <w:rPr>
          <w:rFonts w:eastAsiaTheme="minorHAnsi"/>
          <w:bCs/>
        </w:rPr>
        <w:t>"</w:t>
      </w:r>
    </w:p>
    <w:p w14:paraId="0C82B6B2" w14:textId="77777777" w:rsidR="0033402D" w:rsidRPr="00265150" w:rsidRDefault="0033402D" w:rsidP="0033402D">
      <w:pPr>
        <w:spacing w:after="120"/>
        <w:ind w:left="2268" w:right="708" w:hanging="1134"/>
        <w:jc w:val="both"/>
        <w:rPr>
          <w:rFonts w:eastAsiaTheme="minorHAnsi"/>
          <w:bCs/>
        </w:rPr>
      </w:pPr>
    </w:p>
    <w:p w14:paraId="0DA779B9" w14:textId="77777777" w:rsidR="0033402D" w:rsidRPr="00265150" w:rsidRDefault="0033402D" w:rsidP="0033402D">
      <w:pPr>
        <w:spacing w:after="120"/>
        <w:ind w:left="2268" w:right="708" w:hanging="1134"/>
        <w:jc w:val="both"/>
        <w:rPr>
          <w:rFonts w:eastAsiaTheme="minorHAnsi"/>
          <w:bCs/>
        </w:rPr>
      </w:pPr>
      <w:r w:rsidRPr="00265150">
        <w:rPr>
          <w:rFonts w:eastAsiaTheme="minorHAnsi"/>
          <w:bCs/>
          <w:i/>
          <w:iCs/>
        </w:rPr>
        <w:t>Insert a new Annex 4</w:t>
      </w:r>
      <w:r w:rsidRPr="00265150">
        <w:rPr>
          <w:rFonts w:eastAsiaTheme="minorHAnsi"/>
          <w:bCs/>
        </w:rPr>
        <w:t>, to read:</w:t>
      </w:r>
    </w:p>
    <w:p w14:paraId="6CF56461" w14:textId="0CF77089" w:rsidR="0033402D" w:rsidRPr="00265150" w:rsidRDefault="0033402D" w:rsidP="0033402D">
      <w:pPr>
        <w:spacing w:after="120"/>
        <w:ind w:left="2268" w:right="708" w:hanging="1134"/>
        <w:jc w:val="both"/>
        <w:rPr>
          <w:rFonts w:eastAsiaTheme="minorHAnsi"/>
          <w:b/>
        </w:rPr>
      </w:pPr>
      <w:r w:rsidRPr="00265150">
        <w:rPr>
          <w:rFonts w:eastAsiaTheme="minorHAnsi"/>
          <w:bCs/>
        </w:rPr>
        <w:t>"</w:t>
      </w:r>
      <w:r w:rsidRPr="00265150">
        <w:rPr>
          <w:rFonts w:eastAsiaTheme="minorHAnsi"/>
          <w:b/>
        </w:rPr>
        <w:t xml:space="preserve">Annex 4 </w:t>
      </w:r>
      <w:r w:rsidRPr="00265150">
        <w:rPr>
          <w:rFonts w:eastAsiaTheme="minorHAnsi"/>
          <w:b/>
        </w:rPr>
        <w:tab/>
        <w:t xml:space="preserve">Safety </w:t>
      </w:r>
      <w:r w:rsidR="000220CC">
        <w:rPr>
          <w:rFonts w:eastAsiaTheme="minorHAnsi"/>
          <w:b/>
        </w:rPr>
        <w:t>P</w:t>
      </w:r>
      <w:r w:rsidRPr="00265150">
        <w:rPr>
          <w:rFonts w:eastAsiaTheme="minorHAnsi"/>
          <w:b/>
        </w:rPr>
        <w:t xml:space="preserve">rovisions for </w:t>
      </w:r>
      <w:r w:rsidR="000220CC">
        <w:rPr>
          <w:rFonts w:eastAsiaTheme="minorHAnsi"/>
          <w:b/>
        </w:rPr>
        <w:t>D</w:t>
      </w:r>
      <w:r w:rsidRPr="00265150">
        <w:rPr>
          <w:rFonts w:eastAsiaTheme="minorHAnsi"/>
          <w:b/>
        </w:rPr>
        <w:t xml:space="preserve">igital </w:t>
      </w:r>
      <w:r w:rsidR="000220CC">
        <w:rPr>
          <w:rFonts w:eastAsiaTheme="minorHAnsi"/>
          <w:b/>
        </w:rPr>
        <w:t>K</w:t>
      </w:r>
      <w:r w:rsidRPr="00265150">
        <w:rPr>
          <w:rFonts w:eastAsiaTheme="minorHAnsi"/>
          <w:b/>
        </w:rPr>
        <w:t>eys</w:t>
      </w:r>
    </w:p>
    <w:p w14:paraId="1D18C398" w14:textId="607B8C36" w:rsidR="0033402D" w:rsidRPr="00265150" w:rsidRDefault="0033402D" w:rsidP="0033402D">
      <w:pPr>
        <w:spacing w:after="120"/>
        <w:ind w:left="2268" w:right="708" w:hanging="1134"/>
        <w:jc w:val="both"/>
        <w:rPr>
          <w:rFonts w:eastAsiaTheme="minorHAnsi"/>
          <w:b/>
        </w:rPr>
      </w:pPr>
      <w:r w:rsidRPr="00265150">
        <w:rPr>
          <w:rFonts w:eastAsiaTheme="minorHAnsi"/>
          <w:b/>
        </w:rPr>
        <w:t>1</w:t>
      </w:r>
      <w:r w:rsidR="00975EAD">
        <w:rPr>
          <w:rFonts w:eastAsiaTheme="minorHAnsi"/>
          <w:b/>
        </w:rPr>
        <w:t>.</w:t>
      </w:r>
      <w:r w:rsidRPr="00265150">
        <w:rPr>
          <w:rFonts w:eastAsiaTheme="minorHAnsi"/>
          <w:b/>
        </w:rPr>
        <w:tab/>
        <w:t>General</w:t>
      </w:r>
    </w:p>
    <w:p w14:paraId="5A14567D" w14:textId="0BA4DE70" w:rsidR="0033402D" w:rsidRPr="00265150" w:rsidRDefault="0033402D" w:rsidP="003C429F">
      <w:pPr>
        <w:spacing w:after="120"/>
        <w:ind w:left="2268" w:right="1134" w:hanging="1134"/>
        <w:jc w:val="both"/>
        <w:rPr>
          <w:rFonts w:eastAsiaTheme="minorHAnsi"/>
          <w:b/>
        </w:rPr>
      </w:pPr>
      <w:r w:rsidRPr="00265150">
        <w:rPr>
          <w:rFonts w:eastAsiaTheme="minorHAnsi"/>
          <w:b/>
        </w:rPr>
        <w:tab/>
        <w:t xml:space="preserve">The purpose of this </w:t>
      </w:r>
      <w:r w:rsidR="000220CC">
        <w:rPr>
          <w:rFonts w:eastAsiaTheme="minorHAnsi"/>
          <w:b/>
        </w:rPr>
        <w:t>A</w:t>
      </w:r>
      <w:r w:rsidRPr="00265150">
        <w:rPr>
          <w:rFonts w:eastAsiaTheme="minorHAnsi"/>
          <w:b/>
        </w:rPr>
        <w:t xml:space="preserve">nnex is to specify the requirements for documentation and verification for digital keys used to operate the ‘device to prevent unauthorized use’ of the vehicle. </w:t>
      </w:r>
    </w:p>
    <w:p w14:paraId="5946E30F" w14:textId="7EBEDA1E" w:rsidR="0033402D" w:rsidRPr="00265150" w:rsidRDefault="0033402D" w:rsidP="0033402D">
      <w:pPr>
        <w:spacing w:after="120"/>
        <w:ind w:left="2268" w:right="708" w:hanging="1134"/>
        <w:jc w:val="both"/>
        <w:rPr>
          <w:rFonts w:eastAsiaTheme="minorHAnsi"/>
          <w:b/>
        </w:rPr>
      </w:pPr>
      <w:r w:rsidRPr="00265150">
        <w:rPr>
          <w:rFonts w:eastAsiaTheme="minorHAnsi"/>
          <w:b/>
        </w:rPr>
        <w:t>2</w:t>
      </w:r>
      <w:r w:rsidR="00975EAD">
        <w:rPr>
          <w:rFonts w:eastAsiaTheme="minorHAnsi"/>
          <w:b/>
        </w:rPr>
        <w:t>.</w:t>
      </w:r>
      <w:r w:rsidRPr="00265150">
        <w:rPr>
          <w:rFonts w:eastAsiaTheme="minorHAnsi"/>
          <w:b/>
        </w:rPr>
        <w:tab/>
        <w:t xml:space="preserve">Definitions </w:t>
      </w:r>
    </w:p>
    <w:p w14:paraId="0F8194A3"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2.1.</w:t>
      </w:r>
      <w:r w:rsidRPr="00265150">
        <w:rPr>
          <w:rFonts w:eastAsiaTheme="minorHAnsi"/>
          <w:b/>
        </w:rPr>
        <w:tab/>
        <w:t>"</w:t>
      </w:r>
      <w:r w:rsidRPr="00265150">
        <w:rPr>
          <w:rFonts w:eastAsiaTheme="minorHAnsi"/>
          <w:b/>
          <w:i/>
          <w:iCs/>
        </w:rPr>
        <w:t>Authorization process</w:t>
      </w:r>
      <w:r w:rsidRPr="00265150">
        <w:rPr>
          <w:rFonts w:eastAsiaTheme="minorHAnsi"/>
          <w:b/>
        </w:rPr>
        <w:t xml:space="preserve">" means any method to provide the digital key which can operate the ‘device to prevent unauthorized use’ of the vehicle. </w:t>
      </w:r>
    </w:p>
    <w:p w14:paraId="792FF10D"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2.2.</w:t>
      </w:r>
      <w:r w:rsidRPr="00265150">
        <w:rPr>
          <w:rFonts w:eastAsiaTheme="minorHAnsi"/>
          <w:b/>
        </w:rPr>
        <w:tab/>
        <w:t>"</w:t>
      </w:r>
      <w:r w:rsidRPr="00265150">
        <w:rPr>
          <w:rFonts w:eastAsiaTheme="minorHAnsi"/>
          <w:b/>
          <w:i/>
          <w:iCs/>
        </w:rPr>
        <w:t>Revocation process</w:t>
      </w:r>
      <w:r w:rsidRPr="00265150">
        <w:rPr>
          <w:rFonts w:eastAsiaTheme="minorHAnsi"/>
          <w:b/>
        </w:rPr>
        <w:t>" means any method to prevent the digital key to operate the ‘device to prevent unauthorized use’ of the vehicle.</w:t>
      </w:r>
    </w:p>
    <w:p w14:paraId="3F3F76A2"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2.3.</w:t>
      </w:r>
      <w:r w:rsidRPr="00265150">
        <w:rPr>
          <w:rFonts w:eastAsiaTheme="minorHAnsi"/>
          <w:b/>
        </w:rPr>
        <w:tab/>
        <w:t>"</w:t>
      </w:r>
      <w:r w:rsidRPr="00265150">
        <w:rPr>
          <w:rFonts w:eastAsiaTheme="minorHAnsi"/>
          <w:b/>
          <w:i/>
          <w:iCs/>
        </w:rPr>
        <w:t>Boundary of functional operation</w:t>
      </w:r>
      <w:r w:rsidRPr="00265150">
        <w:rPr>
          <w:rFonts w:eastAsiaTheme="minorHAnsi"/>
          <w:b/>
        </w:rPr>
        <w:t>" defines the boundaries of the external physical limits (e.g. distance) within which the digital key is able to operate the ‘device to prevent unauthorized use’ of the vehicle.</w:t>
      </w:r>
    </w:p>
    <w:p w14:paraId="00B708E3" w14:textId="7AC29D51" w:rsidR="0033402D" w:rsidRPr="00265150" w:rsidRDefault="0033402D" w:rsidP="0033402D">
      <w:pPr>
        <w:spacing w:after="120"/>
        <w:ind w:left="2268" w:right="708" w:hanging="1134"/>
        <w:jc w:val="both"/>
        <w:rPr>
          <w:rFonts w:eastAsiaTheme="minorHAnsi"/>
          <w:b/>
        </w:rPr>
      </w:pPr>
      <w:r w:rsidRPr="00265150">
        <w:rPr>
          <w:rFonts w:eastAsiaTheme="minorHAnsi"/>
          <w:b/>
        </w:rPr>
        <w:t>3</w:t>
      </w:r>
      <w:r w:rsidR="00975EAD">
        <w:rPr>
          <w:rFonts w:eastAsiaTheme="minorHAnsi"/>
          <w:b/>
        </w:rPr>
        <w:t>.</w:t>
      </w:r>
      <w:r w:rsidRPr="00265150">
        <w:rPr>
          <w:rFonts w:eastAsiaTheme="minorHAnsi"/>
          <w:b/>
        </w:rPr>
        <w:tab/>
        <w:t>Documentation</w:t>
      </w:r>
    </w:p>
    <w:p w14:paraId="08DC8C63"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ab/>
        <w:t>The vehicle manufacturer shall provide the following documentation for type approval:</w:t>
      </w:r>
    </w:p>
    <w:p w14:paraId="100273FB" w14:textId="77777777" w:rsidR="0033402D" w:rsidRPr="00265150" w:rsidRDefault="0033402D" w:rsidP="0033402D">
      <w:pPr>
        <w:spacing w:after="120"/>
        <w:ind w:left="2268" w:right="708" w:hanging="1134"/>
        <w:jc w:val="both"/>
        <w:rPr>
          <w:rFonts w:eastAsiaTheme="minorHAnsi"/>
          <w:b/>
        </w:rPr>
      </w:pPr>
      <w:r w:rsidRPr="00265150">
        <w:rPr>
          <w:rFonts w:eastAsiaTheme="minorHAnsi"/>
          <w:b/>
        </w:rPr>
        <w:t>3.1.</w:t>
      </w:r>
      <w:r w:rsidRPr="00265150">
        <w:rPr>
          <w:rFonts w:eastAsiaTheme="minorHAnsi"/>
          <w:b/>
        </w:rPr>
        <w:tab/>
        <w:t>A description of the authorization process.</w:t>
      </w:r>
    </w:p>
    <w:p w14:paraId="49282422" w14:textId="77777777" w:rsidR="0033402D" w:rsidRPr="00265150" w:rsidRDefault="0033402D" w:rsidP="0033402D">
      <w:pPr>
        <w:spacing w:after="120"/>
        <w:ind w:left="2268" w:right="708" w:hanging="1134"/>
        <w:jc w:val="both"/>
        <w:rPr>
          <w:rFonts w:eastAsiaTheme="minorHAnsi"/>
          <w:b/>
        </w:rPr>
      </w:pPr>
      <w:r w:rsidRPr="00265150">
        <w:rPr>
          <w:rFonts w:eastAsiaTheme="minorHAnsi"/>
          <w:b/>
        </w:rPr>
        <w:t>3.2.</w:t>
      </w:r>
      <w:r w:rsidRPr="00265150">
        <w:rPr>
          <w:rFonts w:eastAsiaTheme="minorHAnsi"/>
          <w:b/>
        </w:rPr>
        <w:tab/>
        <w:t xml:space="preserve">A description of the revocation process. </w:t>
      </w:r>
    </w:p>
    <w:p w14:paraId="23FF1A89" w14:textId="77777777" w:rsidR="0033402D" w:rsidRPr="00265150" w:rsidRDefault="0033402D" w:rsidP="0033402D">
      <w:pPr>
        <w:spacing w:after="120"/>
        <w:ind w:left="2268" w:right="708" w:hanging="1134"/>
        <w:jc w:val="both"/>
        <w:rPr>
          <w:rFonts w:eastAsiaTheme="minorHAnsi"/>
          <w:b/>
        </w:rPr>
      </w:pPr>
      <w:r w:rsidRPr="00265150">
        <w:rPr>
          <w:rFonts w:eastAsiaTheme="minorHAnsi"/>
          <w:b/>
        </w:rPr>
        <w:lastRenderedPageBreak/>
        <w:t>3.3.</w:t>
      </w:r>
      <w:r w:rsidRPr="00265150">
        <w:rPr>
          <w:rFonts w:eastAsiaTheme="minorHAnsi"/>
          <w:b/>
        </w:rPr>
        <w:tab/>
        <w:t>A description of the boundary of functional operation.</w:t>
      </w:r>
    </w:p>
    <w:p w14:paraId="0CA9C467"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3.4.</w:t>
      </w:r>
      <w:r w:rsidRPr="00265150">
        <w:rPr>
          <w:rFonts w:eastAsiaTheme="minorHAnsi"/>
          <w:b/>
        </w:rPr>
        <w:tab/>
        <w:t>A description of the safety measures designed within the digital key revocation process to ensure safe operation of the vehicle.</w:t>
      </w:r>
    </w:p>
    <w:p w14:paraId="67E05398" w14:textId="171A2656" w:rsidR="0033402D" w:rsidRPr="00265150" w:rsidRDefault="0033402D" w:rsidP="0033402D">
      <w:pPr>
        <w:spacing w:after="120"/>
        <w:ind w:left="2268" w:right="708" w:hanging="1134"/>
        <w:jc w:val="both"/>
        <w:rPr>
          <w:rFonts w:eastAsiaTheme="minorHAnsi"/>
          <w:b/>
        </w:rPr>
      </w:pPr>
      <w:r w:rsidRPr="00265150">
        <w:rPr>
          <w:rFonts w:eastAsiaTheme="minorHAnsi"/>
          <w:b/>
        </w:rPr>
        <w:t>4</w:t>
      </w:r>
      <w:r w:rsidR="00975EAD">
        <w:rPr>
          <w:rFonts w:eastAsiaTheme="minorHAnsi"/>
          <w:b/>
        </w:rPr>
        <w:t>.</w:t>
      </w:r>
      <w:r w:rsidRPr="00265150">
        <w:rPr>
          <w:rFonts w:eastAsiaTheme="minorHAnsi"/>
          <w:b/>
        </w:rPr>
        <w:tab/>
        <w:t xml:space="preserve">Requirements for Safe Operation </w:t>
      </w:r>
    </w:p>
    <w:p w14:paraId="23F3E68E"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4.1.</w:t>
      </w:r>
      <w:r w:rsidRPr="00265150">
        <w:rPr>
          <w:rFonts w:eastAsiaTheme="minorHAnsi"/>
          <w:b/>
        </w:rPr>
        <w:tab/>
        <w:t>A digital key shall only be transferred to a device via the authorization process.</w:t>
      </w:r>
    </w:p>
    <w:p w14:paraId="5EE0A47C" w14:textId="77777777" w:rsidR="0033402D" w:rsidRPr="00265150" w:rsidRDefault="0033402D" w:rsidP="0033402D">
      <w:pPr>
        <w:spacing w:after="120"/>
        <w:ind w:left="2268" w:right="708" w:hanging="1134"/>
        <w:jc w:val="both"/>
        <w:rPr>
          <w:rFonts w:eastAsiaTheme="minorHAnsi"/>
          <w:b/>
        </w:rPr>
      </w:pPr>
      <w:r w:rsidRPr="00265150">
        <w:rPr>
          <w:rFonts w:eastAsiaTheme="minorHAnsi"/>
          <w:b/>
        </w:rPr>
        <w:t>4.2.</w:t>
      </w:r>
      <w:r w:rsidRPr="00265150">
        <w:rPr>
          <w:rFonts w:eastAsiaTheme="minorHAnsi"/>
          <w:b/>
        </w:rPr>
        <w:tab/>
        <w:t xml:space="preserve">There shall be a revocation process. </w:t>
      </w:r>
    </w:p>
    <w:p w14:paraId="6B130D26" w14:textId="77777777" w:rsidR="0033402D" w:rsidRPr="00265150" w:rsidRDefault="0033402D" w:rsidP="0033402D">
      <w:pPr>
        <w:spacing w:after="120"/>
        <w:ind w:left="2268" w:right="708" w:hanging="1134"/>
        <w:jc w:val="both"/>
        <w:rPr>
          <w:rFonts w:eastAsiaTheme="minorHAnsi"/>
          <w:b/>
        </w:rPr>
      </w:pPr>
      <w:r w:rsidRPr="00265150">
        <w:rPr>
          <w:rFonts w:eastAsiaTheme="minorHAnsi"/>
          <w:b/>
        </w:rPr>
        <w:t>4.2.1.</w:t>
      </w:r>
      <w:r w:rsidRPr="00265150">
        <w:rPr>
          <w:rFonts w:eastAsiaTheme="minorHAnsi"/>
          <w:b/>
        </w:rPr>
        <w:tab/>
        <w:t xml:space="preserve">Revocation of a digital key shall not result in an unsafe condition. </w:t>
      </w:r>
    </w:p>
    <w:p w14:paraId="54EC5E6B"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ab/>
        <w:t>A risk reduction analysis using functional safety standard such as ISO 26262 and safety of the intended functionality standard such as ISO 21448, which documents the risk to vehicle occupants caused by revocation of a digital key and documents the reduction of risk resulting from implementation of the identified risk mitigation functions or characteristic</w:t>
      </w:r>
      <w:bookmarkStart w:id="4" w:name="OLE_LINK3"/>
      <w:r w:rsidRPr="00265150">
        <w:rPr>
          <w:rFonts w:eastAsiaTheme="minorHAnsi"/>
          <w:b/>
        </w:rPr>
        <w:t>s, shall be performed.</w:t>
      </w:r>
      <w:bookmarkEnd w:id="4"/>
    </w:p>
    <w:p w14:paraId="0AEF1334"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4.2.2.</w:t>
      </w:r>
      <w:r w:rsidRPr="00265150">
        <w:rPr>
          <w:rFonts w:eastAsiaTheme="minorHAnsi"/>
          <w:b/>
        </w:rPr>
        <w:tab/>
        <w:t xml:space="preserve">It shall be possible for the primary user(s) to identify the number of authorized registered digital keys. </w:t>
      </w:r>
    </w:p>
    <w:p w14:paraId="10C06DB0"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4.3.</w:t>
      </w:r>
      <w:r w:rsidRPr="00265150">
        <w:rPr>
          <w:rFonts w:eastAsiaTheme="minorHAnsi"/>
          <w:b/>
        </w:rPr>
        <w:tab/>
        <w:t>Boundary of functional operation for the device to prevent unauthorized use:</w:t>
      </w:r>
    </w:p>
    <w:p w14:paraId="413CAA77"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4.3.1.</w:t>
      </w:r>
      <w:r w:rsidRPr="00265150">
        <w:rPr>
          <w:rFonts w:eastAsiaTheme="minorHAnsi"/>
          <w:b/>
        </w:rPr>
        <w:tab/>
        <w:t>Unlocking of the device to prevent unauthorized use shall require that an authorized registered digital key is detected in the interior of the vehicle, or in close proximity of the vehicle.</w:t>
      </w:r>
    </w:p>
    <w:p w14:paraId="4F64738B" w14:textId="77777777" w:rsidR="0033402D" w:rsidRPr="00265150" w:rsidRDefault="0033402D" w:rsidP="003C429F">
      <w:pPr>
        <w:spacing w:after="120"/>
        <w:ind w:left="2268" w:right="1134" w:hanging="1134"/>
        <w:jc w:val="both"/>
        <w:rPr>
          <w:rFonts w:eastAsiaTheme="minorHAnsi"/>
          <w:b/>
        </w:rPr>
      </w:pPr>
      <w:r w:rsidRPr="00265150">
        <w:rPr>
          <w:rFonts w:eastAsiaTheme="minorHAnsi"/>
          <w:b/>
        </w:rPr>
        <w:t>4.4.</w:t>
      </w:r>
      <w:r w:rsidRPr="00265150">
        <w:rPr>
          <w:rFonts w:eastAsiaTheme="minorHAnsi"/>
          <w:b/>
        </w:rPr>
        <w:tab/>
        <w:t>Detailed information shall be contained in the owner's manual of the vehicle, or by any other communication means in the vehicle; as a minimum, this information shall include:</w:t>
      </w:r>
    </w:p>
    <w:p w14:paraId="5BB16CF1" w14:textId="77777777" w:rsidR="0033402D" w:rsidRPr="00265150" w:rsidRDefault="0033402D" w:rsidP="0033402D">
      <w:pPr>
        <w:spacing w:after="120"/>
        <w:ind w:left="2268" w:right="708"/>
        <w:jc w:val="both"/>
        <w:rPr>
          <w:rFonts w:eastAsiaTheme="minorHAnsi"/>
          <w:b/>
        </w:rPr>
      </w:pPr>
      <w:r w:rsidRPr="00265150">
        <w:rPr>
          <w:rFonts w:eastAsiaTheme="minorHAnsi"/>
          <w:b/>
        </w:rPr>
        <w:t>(a)</w:t>
      </w:r>
      <w:r w:rsidRPr="00265150">
        <w:rPr>
          <w:rFonts w:eastAsiaTheme="minorHAnsi"/>
          <w:b/>
        </w:rPr>
        <w:tab/>
        <w:t>The method(s) for authorization of the digital key;</w:t>
      </w:r>
    </w:p>
    <w:p w14:paraId="40AD4466" w14:textId="77777777" w:rsidR="0033402D" w:rsidRPr="00265150" w:rsidRDefault="0033402D" w:rsidP="0033402D">
      <w:pPr>
        <w:spacing w:after="120"/>
        <w:ind w:left="2268" w:right="708"/>
        <w:jc w:val="both"/>
        <w:rPr>
          <w:rFonts w:eastAsiaTheme="minorHAnsi"/>
          <w:b/>
        </w:rPr>
      </w:pPr>
      <w:r w:rsidRPr="00265150">
        <w:rPr>
          <w:rFonts w:eastAsiaTheme="minorHAnsi"/>
          <w:b/>
        </w:rPr>
        <w:t>(b)</w:t>
      </w:r>
      <w:r w:rsidRPr="00265150">
        <w:rPr>
          <w:rFonts w:eastAsiaTheme="minorHAnsi"/>
          <w:b/>
        </w:rPr>
        <w:tab/>
        <w:t>The method(s) for revocation of the digital key.</w:t>
      </w:r>
    </w:p>
    <w:p w14:paraId="5225D7A4" w14:textId="613D7919" w:rsidR="0033402D" w:rsidRPr="00265150" w:rsidRDefault="0033402D" w:rsidP="003C429F">
      <w:pPr>
        <w:spacing w:after="120"/>
        <w:ind w:left="2268" w:right="1134" w:hanging="1134"/>
        <w:jc w:val="both"/>
        <w:rPr>
          <w:rFonts w:eastAsiaTheme="minorHAnsi"/>
          <w:b/>
        </w:rPr>
      </w:pPr>
      <w:bookmarkStart w:id="5" w:name="OLE_LINK12"/>
      <w:bookmarkStart w:id="6" w:name="OLE_LINK14"/>
      <w:r w:rsidRPr="00265150">
        <w:rPr>
          <w:rFonts w:eastAsiaTheme="minorHAnsi"/>
          <w:b/>
        </w:rPr>
        <w:t>5</w:t>
      </w:r>
      <w:r w:rsidR="00975EAD">
        <w:rPr>
          <w:rFonts w:eastAsiaTheme="minorHAnsi"/>
          <w:b/>
        </w:rPr>
        <w:t>.</w:t>
      </w:r>
      <w:r w:rsidRPr="00265150">
        <w:rPr>
          <w:rFonts w:eastAsiaTheme="minorHAnsi"/>
          <w:b/>
        </w:rPr>
        <w:tab/>
        <w:t xml:space="preserve">The effectiveness of the system shall not be adversely affected by cyber-attacks, cyber threats and vulnerabilities. The effectiveness of the security measures shall be demonstrated </w:t>
      </w:r>
      <w:r w:rsidRPr="00265150">
        <w:rPr>
          <w:b/>
          <w:lang w:eastAsia="ja-JP"/>
        </w:rPr>
        <w:t xml:space="preserve">by </w:t>
      </w:r>
      <w:r w:rsidRPr="00265150">
        <w:rPr>
          <w:rFonts w:eastAsiaTheme="minorHAnsi"/>
          <w:b/>
          <w:bCs/>
        </w:rPr>
        <w:t xml:space="preserve">fulfilling the technical requirements of </w:t>
      </w:r>
      <w:r w:rsidRPr="00265150">
        <w:rPr>
          <w:rFonts w:eastAsiaTheme="minorHAnsi"/>
          <w:b/>
        </w:rPr>
        <w:t>UN Regulation No. 155.</w:t>
      </w:r>
    </w:p>
    <w:bookmarkEnd w:id="5"/>
    <w:p w14:paraId="10CE9F93" w14:textId="0E5B9558" w:rsidR="0033402D" w:rsidRPr="00265150" w:rsidRDefault="0033402D" w:rsidP="0033402D">
      <w:pPr>
        <w:spacing w:after="120"/>
        <w:ind w:left="2268" w:right="708" w:hanging="1134"/>
        <w:jc w:val="both"/>
        <w:rPr>
          <w:rFonts w:eastAsiaTheme="minorHAnsi"/>
          <w:b/>
        </w:rPr>
      </w:pPr>
      <w:r w:rsidRPr="00265150">
        <w:rPr>
          <w:rFonts w:eastAsiaTheme="minorHAnsi"/>
          <w:b/>
        </w:rPr>
        <w:t>6</w:t>
      </w:r>
      <w:r w:rsidR="00975EAD">
        <w:rPr>
          <w:rFonts w:eastAsiaTheme="minorHAnsi"/>
          <w:b/>
        </w:rPr>
        <w:t>.</w:t>
      </w:r>
      <w:r w:rsidRPr="00265150">
        <w:rPr>
          <w:rFonts w:eastAsiaTheme="minorHAnsi"/>
          <w:b/>
        </w:rPr>
        <w:tab/>
        <w:t>Verification</w:t>
      </w:r>
    </w:p>
    <w:p w14:paraId="61CC7A94" w14:textId="016242FB" w:rsidR="0033402D" w:rsidRPr="00265150" w:rsidRDefault="0033402D" w:rsidP="003C429F">
      <w:pPr>
        <w:spacing w:after="120"/>
        <w:ind w:left="2268" w:right="1134" w:hanging="1134"/>
        <w:jc w:val="both"/>
        <w:rPr>
          <w:rFonts w:eastAsiaTheme="minorHAnsi"/>
          <w:b/>
        </w:rPr>
      </w:pPr>
      <w:r w:rsidRPr="00265150">
        <w:rPr>
          <w:rFonts w:eastAsiaTheme="minorHAnsi"/>
          <w:b/>
        </w:rPr>
        <w:tab/>
        <w:t xml:space="preserve">Verification of the functionality of the digital key shall be conducted with </w:t>
      </w:r>
      <w:r w:rsidR="000220CC">
        <w:rPr>
          <w:rFonts w:eastAsiaTheme="minorHAnsi"/>
          <w:b/>
        </w:rPr>
        <w:t xml:space="preserve">the </w:t>
      </w:r>
      <w:r w:rsidRPr="00265150">
        <w:rPr>
          <w:rFonts w:eastAsiaTheme="minorHAnsi"/>
          <w:b/>
        </w:rPr>
        <w:t xml:space="preserve">support of </w:t>
      </w:r>
      <w:r w:rsidR="000220CC">
        <w:rPr>
          <w:rFonts w:eastAsiaTheme="minorHAnsi"/>
          <w:b/>
        </w:rPr>
        <w:t xml:space="preserve">the </w:t>
      </w:r>
      <w:r w:rsidRPr="00265150">
        <w:rPr>
          <w:rFonts w:eastAsiaTheme="minorHAnsi"/>
          <w:b/>
        </w:rPr>
        <w:t>manufacturer's documentation as specified in paragraph 3.</w:t>
      </w:r>
    </w:p>
    <w:p w14:paraId="7C877819" w14:textId="6A7CFB9A" w:rsidR="0033402D" w:rsidRPr="00265150" w:rsidRDefault="0033402D" w:rsidP="0033402D">
      <w:pPr>
        <w:spacing w:after="120"/>
        <w:ind w:left="2268" w:right="708" w:hanging="1134"/>
        <w:jc w:val="both"/>
        <w:rPr>
          <w:rFonts w:eastAsiaTheme="minorHAnsi"/>
          <w:b/>
        </w:rPr>
      </w:pPr>
      <w:bookmarkStart w:id="7" w:name="OLE_LINK13"/>
      <w:r w:rsidRPr="00265150">
        <w:rPr>
          <w:rFonts w:eastAsiaTheme="minorHAnsi"/>
          <w:b/>
        </w:rPr>
        <w:t>7</w:t>
      </w:r>
      <w:r w:rsidR="00975EAD">
        <w:rPr>
          <w:rFonts w:eastAsiaTheme="minorHAnsi"/>
          <w:b/>
        </w:rPr>
        <w:t>.</w:t>
      </w:r>
      <w:r w:rsidRPr="00265150">
        <w:rPr>
          <w:rFonts w:eastAsiaTheme="minorHAnsi"/>
          <w:b/>
        </w:rPr>
        <w:tab/>
        <w:t xml:space="preserve">Competence of the </w:t>
      </w:r>
      <w:r w:rsidR="000220CC">
        <w:rPr>
          <w:rFonts w:eastAsiaTheme="minorHAnsi"/>
          <w:b/>
        </w:rPr>
        <w:t>A</w:t>
      </w:r>
      <w:r w:rsidRPr="00265150">
        <w:rPr>
          <w:rFonts w:eastAsiaTheme="minorHAnsi"/>
          <w:b/>
        </w:rPr>
        <w:t>uditors</w:t>
      </w:r>
      <w:r w:rsidR="000220CC">
        <w:rPr>
          <w:rFonts w:eastAsiaTheme="minorHAnsi"/>
          <w:b/>
        </w:rPr>
        <w:t xml:space="preserve"> and </w:t>
      </w:r>
      <w:r w:rsidR="00F87855">
        <w:rPr>
          <w:rFonts w:eastAsiaTheme="minorHAnsi"/>
          <w:b/>
        </w:rPr>
        <w:t xml:space="preserve">the </w:t>
      </w:r>
      <w:r w:rsidR="000220CC">
        <w:rPr>
          <w:rFonts w:eastAsiaTheme="minorHAnsi"/>
          <w:b/>
        </w:rPr>
        <w:t>A</w:t>
      </w:r>
      <w:r w:rsidRPr="00265150">
        <w:rPr>
          <w:rFonts w:eastAsiaTheme="minorHAnsi"/>
          <w:b/>
        </w:rPr>
        <w:t>ssessors</w:t>
      </w:r>
    </w:p>
    <w:p w14:paraId="74174C58" w14:textId="1D0EAEEF" w:rsidR="0033402D" w:rsidRPr="00265150" w:rsidRDefault="0033402D" w:rsidP="003C429F">
      <w:pPr>
        <w:spacing w:after="120"/>
        <w:ind w:left="2268" w:right="1134" w:hanging="1134"/>
        <w:jc w:val="both"/>
        <w:rPr>
          <w:rFonts w:eastAsiaTheme="minorHAnsi"/>
          <w:b/>
        </w:rPr>
      </w:pPr>
      <w:r w:rsidRPr="00265150">
        <w:rPr>
          <w:rFonts w:eastAsiaTheme="minorHAnsi"/>
          <w:b/>
        </w:rPr>
        <w:tab/>
        <w:t>The assessments under this Annex shall only be conducted by auditors</w:t>
      </w:r>
      <w:r w:rsidR="000220CC">
        <w:rPr>
          <w:rFonts w:eastAsiaTheme="minorHAnsi"/>
          <w:b/>
        </w:rPr>
        <w:t xml:space="preserve"> or </w:t>
      </w:r>
      <w:r w:rsidRPr="00265150">
        <w:rPr>
          <w:rFonts w:eastAsiaTheme="minorHAnsi"/>
          <w:b/>
        </w:rPr>
        <w:t>assessors with the technical and administrative knowledge necessary for such purposes. They shall</w:t>
      </w:r>
      <w:r w:rsidR="00413B18">
        <w:rPr>
          <w:rFonts w:eastAsiaTheme="minorHAnsi"/>
          <w:b/>
        </w:rPr>
        <w:t>,</w:t>
      </w:r>
      <w:r w:rsidRPr="00265150">
        <w:rPr>
          <w:rFonts w:eastAsiaTheme="minorHAnsi"/>
          <w:b/>
        </w:rPr>
        <w:t xml:space="preserve"> in particular</w:t>
      </w:r>
      <w:r w:rsidR="00413B18">
        <w:rPr>
          <w:rFonts w:eastAsiaTheme="minorHAnsi"/>
          <w:b/>
        </w:rPr>
        <w:t>,</w:t>
      </w:r>
      <w:r w:rsidRPr="00265150">
        <w:rPr>
          <w:rFonts w:eastAsiaTheme="minorHAnsi"/>
          <w:b/>
        </w:rPr>
        <w:t xml:space="preserve"> be competent as aud</w:t>
      </w:r>
      <w:r w:rsidRPr="003C429F">
        <w:rPr>
          <w:rFonts w:eastAsiaTheme="minorHAnsi"/>
          <w:b/>
        </w:rPr>
        <w:t>itor/assesso</w:t>
      </w:r>
      <w:r w:rsidRPr="00265150">
        <w:rPr>
          <w:rFonts w:eastAsiaTheme="minorHAnsi"/>
          <w:b/>
        </w:rPr>
        <w:t>r for ISO 26262-2018 (Functional Safety</w:t>
      </w:r>
      <w:bookmarkStart w:id="8" w:name="OLE_LINK20"/>
      <w:r w:rsidRPr="00265150">
        <w:rPr>
          <w:rFonts w:eastAsiaTheme="minorHAnsi"/>
          <w:b/>
        </w:rPr>
        <w:t xml:space="preserve"> </w:t>
      </w:r>
      <w:r w:rsidR="00F87855" w:rsidRPr="00265150">
        <w:t>–</w:t>
      </w:r>
      <w:r w:rsidRPr="00265150">
        <w:rPr>
          <w:rFonts w:eastAsiaTheme="minorHAnsi"/>
          <w:b/>
        </w:rPr>
        <w:t xml:space="preserve"> Road Vehicles</w:t>
      </w:r>
      <w:bookmarkEnd w:id="8"/>
      <w:r w:rsidRPr="00265150">
        <w:rPr>
          <w:rFonts w:eastAsiaTheme="minorHAnsi"/>
          <w:b/>
        </w:rPr>
        <w:t xml:space="preserve">), and ISO 21448 (Safety of the Intended Functionality </w:t>
      </w:r>
      <w:r w:rsidR="00F87855" w:rsidRPr="00265150">
        <w:t>–</w:t>
      </w:r>
      <w:r w:rsidRPr="00265150">
        <w:rPr>
          <w:rFonts w:eastAsiaTheme="minorHAnsi"/>
          <w:b/>
        </w:rPr>
        <w:t xml:space="preserve"> Road Vehicles); and shall be able to make the necessary link with cybersecurity aspects in accordance with UN Regulation No. 155 and ISO/SAE 21434. This competence should be demonstrated by appropriate qualifications or other equivalent training records.</w:t>
      </w:r>
      <w:bookmarkEnd w:id="6"/>
      <w:bookmarkEnd w:id="7"/>
      <w:r w:rsidRPr="00265150">
        <w:rPr>
          <w:rFonts w:eastAsiaTheme="minorHAnsi"/>
          <w:bCs/>
        </w:rPr>
        <w:t>"</w:t>
      </w:r>
    </w:p>
    <w:p w14:paraId="3CD8B026" w14:textId="77777777" w:rsidR="0033402D" w:rsidRPr="00265150" w:rsidRDefault="0033402D" w:rsidP="0033402D">
      <w:pPr>
        <w:keepNext/>
        <w:keepLines/>
        <w:tabs>
          <w:tab w:val="right" w:pos="851"/>
        </w:tabs>
        <w:spacing w:before="360" w:after="240" w:line="300" w:lineRule="exact"/>
        <w:ind w:left="1134" w:right="521" w:hanging="1134"/>
        <w:jc w:val="both"/>
        <w:rPr>
          <w:b/>
          <w:sz w:val="28"/>
        </w:rPr>
      </w:pPr>
      <w:r w:rsidRPr="00265150">
        <w:rPr>
          <w:b/>
          <w:sz w:val="28"/>
        </w:rPr>
        <w:tab/>
        <w:t>II.</w:t>
      </w:r>
      <w:r w:rsidRPr="00265150">
        <w:rPr>
          <w:b/>
          <w:sz w:val="28"/>
        </w:rPr>
        <w:tab/>
        <w:t>Justification</w:t>
      </w:r>
    </w:p>
    <w:p w14:paraId="5FEA7619" w14:textId="4D51B522" w:rsidR="0033402D" w:rsidRPr="00265150" w:rsidRDefault="0033402D" w:rsidP="003C429F">
      <w:pPr>
        <w:pStyle w:val="ListParagraph"/>
        <w:numPr>
          <w:ilvl w:val="0"/>
          <w:numId w:val="21"/>
        </w:numPr>
        <w:spacing w:after="120"/>
        <w:ind w:left="1134" w:right="1134" w:firstLine="0"/>
        <w:jc w:val="both"/>
      </w:pPr>
      <w:bookmarkStart w:id="9" w:name="_Hlk19813127"/>
      <w:bookmarkStart w:id="10" w:name="_Hlk19718931"/>
      <w:r w:rsidRPr="00265150">
        <w:t>This proposal for amending UN Regulation No. 62</w:t>
      </w:r>
      <w:bookmarkStart w:id="11" w:name="OLE_LINK18"/>
      <w:r w:rsidRPr="00265150">
        <w:t xml:space="preserve"> aim</w:t>
      </w:r>
      <w:r w:rsidR="00F87855">
        <w:t>s</w:t>
      </w:r>
      <w:r w:rsidRPr="00265150">
        <w:t xml:space="preserve"> at allowing </w:t>
      </w:r>
      <w:bookmarkStart w:id="12" w:name="OLE_LINK5"/>
      <w:r w:rsidRPr="00265150">
        <w:t>vehicles of categories L</w:t>
      </w:r>
      <w:r w:rsidRPr="00265150">
        <w:rPr>
          <w:vertAlign w:val="subscript"/>
        </w:rPr>
        <w:t>1</w:t>
      </w:r>
      <w:r w:rsidRPr="00265150">
        <w:t>–L</w:t>
      </w:r>
      <w:r w:rsidRPr="00265150">
        <w:rPr>
          <w:vertAlign w:val="subscript"/>
        </w:rPr>
        <w:t>7</w:t>
      </w:r>
      <w:r w:rsidRPr="00265150">
        <w:t xml:space="preserve"> fitted with handlebars </w:t>
      </w:r>
      <w:bookmarkEnd w:id="12"/>
      <w:r w:rsidRPr="00265150">
        <w:t xml:space="preserve">(hereafter </w:t>
      </w:r>
      <w:r w:rsidR="00F87855">
        <w:t>"</w:t>
      </w:r>
      <w:r w:rsidRPr="00265150">
        <w:t>category L</w:t>
      </w:r>
      <w:r w:rsidR="00F87855">
        <w:t>"</w:t>
      </w:r>
      <w:r w:rsidRPr="00265150">
        <w:t>) to be equipped with a digital key</w:t>
      </w:r>
      <w:bookmarkEnd w:id="11"/>
      <w:r w:rsidRPr="00265150">
        <w:t xml:space="preserve">, which has been already permitted for </w:t>
      </w:r>
      <w:bookmarkStart w:id="13" w:name="OLE_LINK8"/>
      <w:r w:rsidRPr="00265150">
        <w:t>vehicles of</w:t>
      </w:r>
      <w:bookmarkStart w:id="14" w:name="OLE_LINK10"/>
      <w:r w:rsidRPr="00265150">
        <w:t xml:space="preserve"> categories </w:t>
      </w:r>
      <w:bookmarkStart w:id="15" w:name="OLE_LINK6"/>
      <w:r w:rsidRPr="00265150">
        <w:rPr>
          <w:rFonts w:eastAsia="Yu Mincho"/>
          <w:lang w:eastAsia="ja-JP"/>
        </w:rPr>
        <w:t>M</w:t>
      </w:r>
      <w:r w:rsidRPr="00265150">
        <w:rPr>
          <w:rFonts w:eastAsia="Yu Mincho"/>
          <w:vertAlign w:val="subscript"/>
          <w:lang w:eastAsia="ja-JP"/>
        </w:rPr>
        <w:t>1</w:t>
      </w:r>
      <w:r w:rsidRPr="00265150">
        <w:t xml:space="preserve"> and N</w:t>
      </w:r>
      <w:r w:rsidRPr="00265150">
        <w:rPr>
          <w:vertAlign w:val="subscript"/>
        </w:rPr>
        <w:t>1</w:t>
      </w:r>
      <w:bookmarkEnd w:id="15"/>
      <w:r w:rsidRPr="00265150">
        <w:t>.</w:t>
      </w:r>
    </w:p>
    <w:p w14:paraId="40C1842F" w14:textId="358BC206" w:rsidR="0033402D" w:rsidRPr="00265150" w:rsidRDefault="0033402D" w:rsidP="003C429F">
      <w:pPr>
        <w:spacing w:after="120"/>
        <w:ind w:left="1134" w:right="1134"/>
        <w:jc w:val="both"/>
      </w:pPr>
      <w:r w:rsidRPr="00265150">
        <w:rPr>
          <w:lang w:eastAsia="ja-JP"/>
        </w:rPr>
        <w:lastRenderedPageBreak/>
        <w:t>2.</w:t>
      </w:r>
      <w:r w:rsidRPr="00265150">
        <w:rPr>
          <w:lang w:eastAsia="ja-JP"/>
        </w:rPr>
        <w:tab/>
        <w:t xml:space="preserve">Considering </w:t>
      </w:r>
      <w:r w:rsidR="00F87855">
        <w:rPr>
          <w:lang w:eastAsia="ja-JP"/>
        </w:rPr>
        <w:t xml:space="preserve">that </w:t>
      </w:r>
      <w:r w:rsidRPr="00265150">
        <w:rPr>
          <w:lang w:eastAsia="ja-JP"/>
        </w:rPr>
        <w:t>UN Regulation No. 62 establishes the requirements for the locking system for category L, the corresponding regulation is UN Regulation No. 161 (protection of motor vehicles against unauthorized use by means of a locking system) among several relevant regulations for categories M</w:t>
      </w:r>
      <w:r w:rsidRPr="00265150">
        <w:rPr>
          <w:vertAlign w:val="subscript"/>
          <w:lang w:eastAsia="ja-JP"/>
        </w:rPr>
        <w:t>1</w:t>
      </w:r>
      <w:r w:rsidRPr="00265150">
        <w:rPr>
          <w:lang w:eastAsia="ja-JP"/>
        </w:rPr>
        <w:t xml:space="preserve"> and N</w:t>
      </w:r>
      <w:r w:rsidRPr="00265150">
        <w:rPr>
          <w:vertAlign w:val="subscript"/>
          <w:lang w:eastAsia="ja-JP"/>
        </w:rPr>
        <w:t>1</w:t>
      </w:r>
      <w:r w:rsidRPr="00265150">
        <w:rPr>
          <w:lang w:eastAsia="ja-JP"/>
        </w:rPr>
        <w:t>. Hence, this proposal was prepared on the basis of UN Regulation No. 161. For clarity, the wording in UN Regulation No. 161 is excerpted in italics in the following part of this justification. The modifications introduced in this proposal are marked in bold for additions and strikethrough for deletions.</w:t>
      </w:r>
    </w:p>
    <w:bookmarkEnd w:id="9"/>
    <w:bookmarkEnd w:id="14"/>
    <w:p w14:paraId="40BDAD48" w14:textId="529EA7E0" w:rsidR="00413B18" w:rsidRPr="00265150" w:rsidRDefault="0033402D" w:rsidP="003C429F">
      <w:pPr>
        <w:spacing w:after="120"/>
        <w:ind w:left="1134" w:right="1134"/>
        <w:jc w:val="both"/>
      </w:pPr>
      <w:r w:rsidRPr="00265150">
        <w:rPr>
          <w:lang w:eastAsia="ja-JP"/>
        </w:rPr>
        <w:t>3</w:t>
      </w:r>
      <w:r w:rsidRPr="00265150">
        <w:t>.</w:t>
      </w:r>
      <w:r w:rsidRPr="00265150">
        <w:tab/>
      </w:r>
      <w:bookmarkStart w:id="16" w:name="_Hlk19813189"/>
      <w:r w:rsidRPr="00265150">
        <w:t xml:space="preserve">Relevant requirements established for categories </w:t>
      </w:r>
      <w:r w:rsidRPr="00265150">
        <w:rPr>
          <w:rFonts w:eastAsia="Yu Mincho"/>
          <w:lang w:eastAsia="ja-JP"/>
        </w:rPr>
        <w:t>M</w:t>
      </w:r>
      <w:r w:rsidRPr="00265150">
        <w:rPr>
          <w:rFonts w:eastAsia="Yu Mincho"/>
          <w:vertAlign w:val="subscript"/>
          <w:lang w:eastAsia="ja-JP"/>
        </w:rPr>
        <w:t>1</w:t>
      </w:r>
      <w:r w:rsidRPr="00265150">
        <w:t xml:space="preserve"> and N</w:t>
      </w:r>
      <w:r w:rsidRPr="00265150">
        <w:rPr>
          <w:vertAlign w:val="subscript"/>
        </w:rPr>
        <w:t>1</w:t>
      </w:r>
      <w:r w:rsidRPr="00265150">
        <w:t xml:space="preserve"> are also </w:t>
      </w:r>
      <w:bookmarkEnd w:id="13"/>
      <w:r w:rsidRPr="00265150">
        <w:t>appropriate for category L</w:t>
      </w:r>
      <w:r w:rsidRPr="00265150">
        <w:rPr>
          <w:lang w:eastAsia="ja-JP"/>
        </w:rPr>
        <w:t xml:space="preserve"> and are</w:t>
      </w:r>
      <w:r w:rsidRPr="00265150">
        <w:t xml:space="preserve"> therefore introduced as-is in this proposal.</w:t>
      </w:r>
      <w:bookmarkStart w:id="17" w:name="OLE_LINK7"/>
      <w:r w:rsidRPr="00265150">
        <w:t xml:space="preserve"> Following editorial modifications were made for the adaptation</w:t>
      </w:r>
      <w:bookmarkEnd w:id="16"/>
      <w:r w:rsidRPr="00265150">
        <w:t xml:space="preserve">. </w:t>
      </w:r>
    </w:p>
    <w:p w14:paraId="174A5ED2" w14:textId="5EFE94FC" w:rsidR="0033402D" w:rsidRPr="003C429F" w:rsidRDefault="00F87855" w:rsidP="003C429F">
      <w:pPr>
        <w:spacing w:after="120"/>
        <w:ind w:left="1134" w:right="1134"/>
        <w:jc w:val="both"/>
        <w:rPr>
          <w:rFonts w:eastAsia="Yu Mincho"/>
          <w:lang w:eastAsia="ja-JP"/>
        </w:rPr>
      </w:pPr>
      <w:bookmarkStart w:id="18" w:name="OLE_LINK21"/>
      <w:bookmarkEnd w:id="17"/>
      <w:r>
        <w:rPr>
          <w:rFonts w:eastAsia="Yu Mincho"/>
          <w:lang w:eastAsia="ja-JP"/>
        </w:rPr>
        <w:t>(a)</w:t>
      </w:r>
      <w:r>
        <w:rPr>
          <w:rFonts w:eastAsia="Yu Mincho"/>
          <w:lang w:eastAsia="ja-JP"/>
        </w:rPr>
        <w:tab/>
      </w:r>
      <w:r w:rsidR="0033402D" w:rsidRPr="003C429F">
        <w:rPr>
          <w:rFonts w:eastAsia="Yu Mincho"/>
          <w:lang w:eastAsia="ja-JP"/>
        </w:rPr>
        <w:t>Test requirements are defined in a specific annexe in UN Regulation No. 161. However, as a difference in editorial configuration, they are distributed in more general paragraphs in the case of UN Regulation No. 62. To adequately replicate the intention of the requirement, the wording of reference was recomposed in this proposal.</w:t>
      </w:r>
    </w:p>
    <w:bookmarkEnd w:id="18"/>
    <w:p w14:paraId="1B24621A" w14:textId="77777777" w:rsidR="0033402D" w:rsidRPr="00265150" w:rsidRDefault="0033402D" w:rsidP="003C429F">
      <w:pPr>
        <w:spacing w:after="120"/>
        <w:ind w:left="1701" w:right="1134"/>
        <w:jc w:val="both"/>
        <w:rPr>
          <w:rFonts w:eastAsia="Yu Mincho"/>
          <w:i/>
          <w:iCs/>
          <w:lang w:eastAsia="ja-JP"/>
        </w:rPr>
      </w:pPr>
      <w:r w:rsidRPr="00265150">
        <w:rPr>
          <w:i/>
          <w:iCs/>
        </w:rPr>
        <w:t xml:space="preserve">UN Regulation No. </w:t>
      </w:r>
      <w:r w:rsidRPr="00265150">
        <w:rPr>
          <w:rFonts w:eastAsia="Yu Mincho"/>
          <w:i/>
          <w:iCs/>
          <w:lang w:eastAsia="ja-JP"/>
        </w:rPr>
        <w:t>161</w:t>
      </w:r>
    </w:p>
    <w:p w14:paraId="5DD441AE" w14:textId="77777777" w:rsidR="0033402D" w:rsidRPr="00265150" w:rsidRDefault="0033402D" w:rsidP="003C429F">
      <w:pPr>
        <w:spacing w:after="120"/>
        <w:ind w:left="1701" w:right="1134"/>
        <w:jc w:val="both"/>
        <w:rPr>
          <w:rFonts w:eastAsia="Yu Mincho"/>
          <w:i/>
          <w:iCs/>
          <w:lang w:eastAsia="ja-JP"/>
        </w:rPr>
      </w:pPr>
      <w:r w:rsidRPr="00265150">
        <w:rPr>
          <w:rFonts w:eastAsia="Yu Mincho"/>
          <w:i/>
          <w:iCs/>
          <w:lang w:eastAsia="ja-JP"/>
        </w:rPr>
        <w:t>5.3.</w:t>
      </w:r>
      <w:r w:rsidRPr="00265150">
        <w:rPr>
          <w:rFonts w:eastAsia="Yu Mincho"/>
          <w:i/>
          <w:iCs/>
          <w:lang w:eastAsia="ja-JP"/>
        </w:rPr>
        <w:tab/>
        <w:t>…</w:t>
      </w:r>
    </w:p>
    <w:p w14:paraId="32E89FEE" w14:textId="77777777" w:rsidR="0033402D" w:rsidRPr="003C429F" w:rsidRDefault="0033402D" w:rsidP="003C429F">
      <w:pPr>
        <w:spacing w:after="120"/>
        <w:ind w:left="2268" w:right="1134"/>
        <w:jc w:val="both"/>
        <w:rPr>
          <w:rFonts w:eastAsia="Yu Mincho"/>
          <w:i/>
          <w:iCs/>
          <w:lang w:eastAsia="ja-JP"/>
        </w:rPr>
      </w:pPr>
      <w:r w:rsidRPr="00265150">
        <w:rPr>
          <w:rFonts w:eastAsia="Yu Mincho"/>
          <w:i/>
          <w:iCs/>
          <w:lang w:eastAsia="ja-JP"/>
        </w:rPr>
        <w:t>Compone</w:t>
      </w:r>
      <w:r w:rsidRPr="003C429F">
        <w:rPr>
          <w:rFonts w:eastAsia="Yu Mincho"/>
          <w:i/>
          <w:iCs/>
          <w:lang w:eastAsia="ja-JP"/>
        </w:rPr>
        <w:t xml:space="preserve">nts that are not embedded in the vehicle (e.g. keys, which are used for activation/deactivation) need not to comply with the </w:t>
      </w:r>
      <w:r w:rsidRPr="003C429F">
        <w:rPr>
          <w:rFonts w:eastAsia="Yu Mincho"/>
          <w:b/>
          <w:bCs/>
          <w:i/>
          <w:iCs/>
          <w:lang w:eastAsia="ja-JP"/>
        </w:rPr>
        <w:t>test</w:t>
      </w:r>
      <w:r w:rsidRPr="003C429F">
        <w:rPr>
          <w:rFonts w:eastAsia="Yu Mincho"/>
          <w:i/>
          <w:iCs/>
          <w:lang w:eastAsia="ja-JP"/>
        </w:rPr>
        <w:t xml:space="preserve"> requirements described in </w:t>
      </w:r>
      <w:r w:rsidRPr="003C429F">
        <w:rPr>
          <w:rFonts w:eastAsia="Yu Mincho"/>
          <w:i/>
          <w:iCs/>
          <w:strike/>
          <w:lang w:eastAsia="ja-JP"/>
        </w:rPr>
        <w:t>Annex 6</w:t>
      </w:r>
      <w:r w:rsidRPr="003C429F">
        <w:rPr>
          <w:rFonts w:eastAsia="Yu Mincho"/>
          <w:i/>
          <w:iCs/>
          <w:lang w:eastAsia="ja-JP"/>
        </w:rPr>
        <w:t xml:space="preserve"> </w:t>
      </w:r>
      <w:r w:rsidRPr="003C429F">
        <w:rPr>
          <w:rFonts w:eastAsia="Yu Mincho"/>
          <w:b/>
          <w:bCs/>
          <w:i/>
          <w:iCs/>
          <w:lang w:eastAsia="ja-JP"/>
        </w:rPr>
        <w:t>paragraphs 5. and 6</w:t>
      </w:r>
      <w:r w:rsidRPr="003C429F">
        <w:rPr>
          <w:rFonts w:eastAsia="Yu Mincho"/>
          <w:i/>
          <w:iCs/>
          <w:lang w:eastAsia="ja-JP"/>
        </w:rPr>
        <w:t>.</w:t>
      </w:r>
    </w:p>
    <w:p w14:paraId="393FFFFF" w14:textId="2B9B2401" w:rsidR="00413B18" w:rsidRPr="003C429F" w:rsidRDefault="0033402D" w:rsidP="003C429F">
      <w:pPr>
        <w:spacing w:after="120"/>
        <w:ind w:left="2268" w:right="1134"/>
        <w:jc w:val="both"/>
        <w:rPr>
          <w:rFonts w:eastAsia="Yu Mincho"/>
          <w:i/>
          <w:iCs/>
          <w:lang w:eastAsia="ja-JP"/>
        </w:rPr>
      </w:pPr>
      <w:r w:rsidRPr="003C429F">
        <w:rPr>
          <w:rFonts w:eastAsia="Yu Mincho"/>
          <w:i/>
          <w:iCs/>
          <w:lang w:eastAsia="ja-JP"/>
        </w:rPr>
        <w:t>…</w:t>
      </w:r>
    </w:p>
    <w:p w14:paraId="05585229" w14:textId="01B152BD" w:rsidR="0033402D" w:rsidRPr="003C429F" w:rsidRDefault="00413B18" w:rsidP="003C429F">
      <w:pPr>
        <w:spacing w:after="120"/>
        <w:ind w:left="1134" w:right="1134"/>
        <w:jc w:val="both"/>
        <w:rPr>
          <w:rFonts w:eastAsia="Yu Mincho"/>
          <w:lang w:eastAsia="ja-JP"/>
        </w:rPr>
      </w:pPr>
      <w:r w:rsidRPr="003C429F">
        <w:rPr>
          <w:rFonts w:eastAsia="Yu Mincho"/>
        </w:rPr>
        <w:tab/>
        <w:t>(b)</w:t>
      </w:r>
      <w:r w:rsidRPr="003C429F">
        <w:rPr>
          <w:rFonts w:eastAsia="Yu Mincho"/>
        </w:rPr>
        <w:tab/>
      </w:r>
      <w:r w:rsidR="0033402D" w:rsidRPr="003C429F">
        <w:rPr>
          <w:rFonts w:eastAsia="Yu Mincho"/>
        </w:rPr>
        <w:t>Reflecting</w:t>
      </w:r>
      <w:r w:rsidR="0033402D" w:rsidRPr="003C429F">
        <w:rPr>
          <w:rFonts w:eastAsia="Yu Mincho"/>
          <w:lang w:eastAsia="ja-JP"/>
        </w:rPr>
        <w:t xml:space="preserve"> a recent development in the field of ISO, the reference to the standard for the safety of the intended functionality was updated.</w:t>
      </w:r>
    </w:p>
    <w:p w14:paraId="28549110" w14:textId="77777777" w:rsidR="0033402D" w:rsidRPr="003C429F" w:rsidRDefault="0033402D" w:rsidP="003C429F">
      <w:pPr>
        <w:spacing w:after="120"/>
        <w:ind w:left="1701" w:right="1134"/>
        <w:jc w:val="both"/>
        <w:rPr>
          <w:rFonts w:eastAsiaTheme="minorHAnsi"/>
          <w:bCs/>
          <w:i/>
          <w:iCs/>
        </w:rPr>
      </w:pPr>
      <w:r w:rsidRPr="003C429F">
        <w:rPr>
          <w:i/>
          <w:iCs/>
        </w:rPr>
        <w:t xml:space="preserve">UN Regulation No. </w:t>
      </w:r>
      <w:r w:rsidRPr="003C429F">
        <w:rPr>
          <w:rFonts w:eastAsiaTheme="minorHAnsi"/>
          <w:bCs/>
          <w:i/>
          <w:iCs/>
        </w:rPr>
        <w:t xml:space="preserve">161 </w:t>
      </w:r>
    </w:p>
    <w:p w14:paraId="4F4DE60F" w14:textId="77777777" w:rsidR="0033402D" w:rsidRPr="003C429F" w:rsidRDefault="0033402D" w:rsidP="003C429F">
      <w:pPr>
        <w:spacing w:after="120"/>
        <w:ind w:left="1701" w:right="1134"/>
        <w:jc w:val="both"/>
        <w:rPr>
          <w:rFonts w:eastAsiaTheme="minorHAnsi"/>
          <w:bCs/>
          <w:i/>
          <w:iCs/>
          <w:lang w:eastAsia="en-US"/>
        </w:rPr>
      </w:pPr>
      <w:r w:rsidRPr="003C429F">
        <w:rPr>
          <w:rFonts w:eastAsiaTheme="minorHAnsi"/>
          <w:bCs/>
          <w:i/>
          <w:iCs/>
        </w:rPr>
        <w:t>Annex 9</w:t>
      </w:r>
    </w:p>
    <w:p w14:paraId="7A7F9FB8" w14:textId="77777777" w:rsidR="0033402D" w:rsidRPr="00265150" w:rsidRDefault="0033402D" w:rsidP="003C429F">
      <w:pPr>
        <w:spacing w:after="120"/>
        <w:ind w:left="1701" w:right="1134"/>
        <w:jc w:val="both"/>
        <w:rPr>
          <w:rFonts w:eastAsiaTheme="minorHAnsi"/>
          <w:bCs/>
          <w:i/>
          <w:iCs/>
        </w:rPr>
      </w:pPr>
      <w:r w:rsidRPr="003C429F">
        <w:rPr>
          <w:rFonts w:eastAsiaTheme="minorHAnsi"/>
          <w:bCs/>
          <w:i/>
          <w:iCs/>
        </w:rPr>
        <w:t>7</w:t>
      </w:r>
      <w:r w:rsidRPr="003C429F">
        <w:rPr>
          <w:rFonts w:eastAsiaTheme="minorHAnsi"/>
          <w:bCs/>
          <w:i/>
          <w:iCs/>
        </w:rPr>
        <w:tab/>
        <w:t>Competence of the auditors/assessors</w:t>
      </w:r>
    </w:p>
    <w:p w14:paraId="0D1F409F" w14:textId="77777777" w:rsidR="0033402D" w:rsidRPr="00265150" w:rsidRDefault="0033402D" w:rsidP="003C429F">
      <w:pPr>
        <w:spacing w:after="120"/>
        <w:ind w:left="2268" w:right="1134"/>
        <w:jc w:val="both"/>
        <w:rPr>
          <w:bCs/>
          <w:i/>
          <w:iCs/>
          <w:lang w:eastAsia="ja-JP"/>
        </w:rPr>
      </w:pPr>
      <w:r w:rsidRPr="00265150">
        <w:rPr>
          <w:rFonts w:eastAsiaTheme="minorHAnsi"/>
          <w:bCs/>
          <w:i/>
          <w:iCs/>
        </w:rPr>
        <w:tab/>
        <w:t>The assessments under this Annex shall only be conducted by auditors/assessors with the technical and administrative knowledge necessary for such purposes. They shall in particular be competent as auditor/assessor for ISO 26262-2018 (Functional Safety</w:t>
      </w:r>
      <w:bookmarkStart w:id="19" w:name="OLE_LINK19"/>
      <w:r w:rsidRPr="00265150">
        <w:rPr>
          <w:rFonts w:eastAsiaTheme="minorHAnsi"/>
          <w:bCs/>
          <w:i/>
          <w:iCs/>
        </w:rPr>
        <w:t xml:space="preserve"> - Road Vehicles</w:t>
      </w:r>
      <w:bookmarkEnd w:id="19"/>
      <w:r w:rsidRPr="00265150">
        <w:rPr>
          <w:rFonts w:eastAsiaTheme="minorHAnsi"/>
          <w:bCs/>
          <w:i/>
          <w:iCs/>
        </w:rPr>
        <w:t>), and ISO</w:t>
      </w:r>
      <w:r w:rsidRPr="00265150">
        <w:rPr>
          <w:rFonts w:eastAsiaTheme="minorHAnsi"/>
          <w:bCs/>
          <w:i/>
          <w:iCs/>
          <w:strike/>
        </w:rPr>
        <w:t>/PAS</w:t>
      </w:r>
      <w:r w:rsidRPr="00265150">
        <w:rPr>
          <w:rFonts w:eastAsiaTheme="minorHAnsi"/>
          <w:bCs/>
          <w:i/>
          <w:iCs/>
        </w:rPr>
        <w:t xml:space="preserve"> 21448 (Safety of the Intended Functionality </w:t>
      </w:r>
      <w:r w:rsidRPr="00265150">
        <w:rPr>
          <w:rFonts w:eastAsiaTheme="minorHAnsi"/>
          <w:bCs/>
          <w:i/>
          <w:iCs/>
          <w:strike/>
        </w:rPr>
        <w:t>of road vehicles</w:t>
      </w:r>
      <w:r w:rsidRPr="00265150">
        <w:rPr>
          <w:rFonts w:eastAsiaTheme="minorHAnsi"/>
          <w:bCs/>
          <w:i/>
          <w:iCs/>
        </w:rPr>
        <w:t xml:space="preserve"> </w:t>
      </w:r>
      <w:r w:rsidRPr="00265150">
        <w:rPr>
          <w:rFonts w:eastAsiaTheme="minorHAnsi"/>
          <w:b/>
          <w:i/>
          <w:iCs/>
        </w:rPr>
        <w:t>- Road Vehicles</w:t>
      </w:r>
      <w:r w:rsidRPr="00265150">
        <w:rPr>
          <w:rFonts w:eastAsiaTheme="minorHAnsi"/>
          <w:bCs/>
          <w:i/>
          <w:iCs/>
        </w:rPr>
        <w:t>); and shall be able to make the necessary link with cybersecurity aspects in accordance with UN Regulation No. 155 and ISO/SAE 21434. This competence should be demonstrated by appropriate qualifications or other equivalent training records.</w:t>
      </w:r>
    </w:p>
    <w:p w14:paraId="02FEC119" w14:textId="77777777" w:rsidR="0033402D" w:rsidRPr="00265150" w:rsidRDefault="0033402D" w:rsidP="003C429F">
      <w:pPr>
        <w:spacing w:after="120"/>
        <w:ind w:left="1134" w:right="1134"/>
        <w:jc w:val="both"/>
        <w:rPr>
          <w:rFonts w:eastAsia="Yu Mincho"/>
          <w:lang w:eastAsia="ja-JP"/>
        </w:rPr>
      </w:pPr>
      <w:r w:rsidRPr="00265150">
        <w:rPr>
          <w:lang w:eastAsia="ja-JP"/>
        </w:rPr>
        <w:t>4</w:t>
      </w:r>
      <w:r w:rsidRPr="00265150">
        <w:t>.</w:t>
      </w:r>
      <w:r w:rsidRPr="00265150">
        <w:tab/>
      </w:r>
      <w:bookmarkStart w:id="20" w:name="OLE_LINK15"/>
      <w:bookmarkEnd w:id="10"/>
      <w:r w:rsidRPr="00265150">
        <w:t xml:space="preserve">During the preparation of this proposal, it was identified that the following requirement of the English version of UN Regulation No. 161 states only a subject part, apparently lacking a predicate part. Despite being no doubt in the requirement </w:t>
      </w:r>
      <w:bookmarkEnd w:id="20"/>
      <w:r w:rsidRPr="00265150">
        <w:t xml:space="preserve">considering the context, the predicate part was supplemented in this proposal for full clarity in reference to the corresponding part of its French version, </w:t>
      </w:r>
      <w:r w:rsidRPr="00265150">
        <w:rPr>
          <w:i/>
          <w:iCs/>
        </w:rPr>
        <w:t xml:space="preserve">« … doit </w:t>
      </w:r>
      <w:proofErr w:type="spellStart"/>
      <w:r w:rsidRPr="00265150">
        <w:rPr>
          <w:i/>
          <w:iCs/>
        </w:rPr>
        <w:t>être</w:t>
      </w:r>
      <w:proofErr w:type="spellEnd"/>
      <w:r w:rsidRPr="00265150">
        <w:rPr>
          <w:i/>
          <w:iCs/>
        </w:rPr>
        <w:t xml:space="preserve"> </w:t>
      </w:r>
      <w:proofErr w:type="spellStart"/>
      <w:r w:rsidRPr="00265150">
        <w:rPr>
          <w:i/>
          <w:iCs/>
        </w:rPr>
        <w:t>réalisée</w:t>
      </w:r>
      <w:proofErr w:type="spellEnd"/>
      <w:r w:rsidRPr="00265150">
        <w:rPr>
          <w:i/>
          <w:iCs/>
        </w:rPr>
        <w:t xml:space="preserve"> »</w:t>
      </w:r>
      <w:r w:rsidRPr="00265150">
        <w:rPr>
          <w:rFonts w:eastAsia="Yu Mincho"/>
          <w:lang w:eastAsia="ja-JP"/>
        </w:rPr>
        <w:t>. In addition, the aforementioned ISO update was also reflected in this sentence.</w:t>
      </w:r>
    </w:p>
    <w:p w14:paraId="02428B71" w14:textId="77777777" w:rsidR="0033402D" w:rsidRPr="00265150" w:rsidRDefault="0033402D" w:rsidP="003C429F">
      <w:pPr>
        <w:spacing w:after="120"/>
        <w:ind w:left="1701" w:right="1134"/>
        <w:jc w:val="both"/>
        <w:rPr>
          <w:i/>
          <w:iCs/>
          <w:lang w:eastAsia="en-US"/>
        </w:rPr>
      </w:pPr>
      <w:r w:rsidRPr="00265150">
        <w:rPr>
          <w:i/>
          <w:iCs/>
        </w:rPr>
        <w:t>UN Regulation No. 161</w:t>
      </w:r>
    </w:p>
    <w:p w14:paraId="4DEC19BC" w14:textId="77777777" w:rsidR="0033402D" w:rsidRPr="00265150" w:rsidRDefault="0033402D" w:rsidP="003C429F">
      <w:pPr>
        <w:spacing w:after="120"/>
        <w:ind w:left="1701" w:right="1134"/>
        <w:jc w:val="both"/>
        <w:rPr>
          <w:i/>
          <w:iCs/>
        </w:rPr>
      </w:pPr>
      <w:r w:rsidRPr="00265150">
        <w:rPr>
          <w:i/>
          <w:iCs/>
        </w:rPr>
        <w:t>4.2.1.</w:t>
      </w:r>
      <w:r w:rsidRPr="00265150">
        <w:rPr>
          <w:i/>
          <w:iCs/>
        </w:rPr>
        <w:tab/>
        <w:t xml:space="preserve">Revocation of a digital key shall not result in an unsafe condition. </w:t>
      </w:r>
    </w:p>
    <w:p w14:paraId="7BA3C698" w14:textId="25C1E202" w:rsidR="00F979B4" w:rsidRDefault="0033402D" w:rsidP="003C429F">
      <w:pPr>
        <w:spacing w:before="240"/>
        <w:ind w:left="2268" w:right="1134" w:hanging="567"/>
        <w:jc w:val="both"/>
        <w:rPr>
          <w:color w:val="000000" w:themeColor="text1"/>
          <w:lang w:eastAsia="ja-JP"/>
        </w:rPr>
      </w:pPr>
      <w:r w:rsidRPr="00265150">
        <w:rPr>
          <w:i/>
          <w:iCs/>
        </w:rPr>
        <w:tab/>
        <w:t>A risk reduction analysis using functional safety standard such as ISO 26262 and safety of the intended functionality standard such as ISO</w:t>
      </w:r>
      <w:r w:rsidRPr="00265150">
        <w:rPr>
          <w:i/>
          <w:iCs/>
          <w:strike/>
        </w:rPr>
        <w:t>/PAS</w:t>
      </w:r>
      <w:r w:rsidRPr="00265150">
        <w:rPr>
          <w:i/>
          <w:iCs/>
        </w:rPr>
        <w:t> 21448, which documents the risk to vehicle occupants caused by revocation of a digital key and documents the reduction of risk resulting from implementation of the identified risk mitigation functions or characteristics</w:t>
      </w:r>
      <w:r w:rsidRPr="00265150">
        <w:rPr>
          <w:b/>
          <w:bCs/>
          <w:i/>
          <w:iCs/>
        </w:rPr>
        <w:t>, shall be performed</w:t>
      </w:r>
      <w:r w:rsidRPr="00265150">
        <w:rPr>
          <w:i/>
          <w:iCs/>
        </w:rPr>
        <w:t>.</w:t>
      </w:r>
    </w:p>
    <w:p w14:paraId="56D9C4C8" w14:textId="77777777" w:rsidR="00413B18" w:rsidRDefault="00413B18" w:rsidP="00F979B4">
      <w:pPr>
        <w:spacing w:after="120"/>
        <w:ind w:left="1134" w:right="1134"/>
        <w:jc w:val="both"/>
        <w:rPr>
          <w:color w:val="000000" w:themeColor="text1"/>
          <w:lang w:eastAsia="ja-JP"/>
        </w:rPr>
      </w:pPr>
    </w:p>
    <w:p w14:paraId="368BD088" w14:textId="3F389234" w:rsidR="0033402D" w:rsidRPr="00265150" w:rsidRDefault="0033402D" w:rsidP="003C429F">
      <w:pPr>
        <w:spacing w:after="120"/>
        <w:ind w:left="1134" w:right="1134"/>
        <w:jc w:val="both"/>
        <w:rPr>
          <w:color w:val="000000" w:themeColor="text1"/>
          <w:lang w:eastAsia="ja-JP"/>
        </w:rPr>
      </w:pPr>
      <w:r w:rsidRPr="00265150">
        <w:rPr>
          <w:color w:val="000000" w:themeColor="text1"/>
          <w:lang w:eastAsia="ja-JP"/>
        </w:rPr>
        <w:t>5</w:t>
      </w:r>
      <w:r w:rsidRPr="00265150">
        <w:rPr>
          <w:color w:val="000000" w:themeColor="text1"/>
        </w:rPr>
        <w:t>.</w:t>
      </w:r>
      <w:r w:rsidRPr="00265150">
        <w:rPr>
          <w:color w:val="000000" w:themeColor="text1"/>
        </w:rPr>
        <w:tab/>
        <w:t xml:space="preserve">During </w:t>
      </w:r>
      <w:r w:rsidRPr="00265150">
        <w:rPr>
          <w:color w:val="000000" w:themeColor="text1"/>
          <w:lang w:eastAsia="ja-JP"/>
        </w:rPr>
        <w:t xml:space="preserve">the introduction of the informal proposal GRSG-128-10 </w:t>
      </w:r>
      <w:r w:rsidR="00413B18">
        <w:rPr>
          <w:color w:val="000000" w:themeColor="text1"/>
          <w:lang w:eastAsia="ja-JP"/>
        </w:rPr>
        <w:t>at</w:t>
      </w:r>
      <w:r w:rsidRPr="00265150">
        <w:rPr>
          <w:color w:val="000000" w:themeColor="text1"/>
          <w:lang w:eastAsia="ja-JP"/>
        </w:rPr>
        <w:t xml:space="preserve"> </w:t>
      </w:r>
      <w:r w:rsidRPr="00265150">
        <w:rPr>
          <w:color w:val="000000" w:themeColor="text1"/>
        </w:rPr>
        <w:t xml:space="preserve">the </w:t>
      </w:r>
      <w:r w:rsidRPr="00265150">
        <w:rPr>
          <w:color w:val="000000" w:themeColor="text1"/>
          <w:lang w:eastAsia="ja-JP"/>
        </w:rPr>
        <w:t>128</w:t>
      </w:r>
      <w:r w:rsidRPr="00975EAD">
        <w:rPr>
          <w:color w:val="000000" w:themeColor="text1"/>
          <w:lang w:eastAsia="ja-JP"/>
        </w:rPr>
        <w:t>th</w:t>
      </w:r>
      <w:r w:rsidRPr="00265150">
        <w:rPr>
          <w:color w:val="000000" w:themeColor="text1"/>
          <w:lang w:eastAsia="ja-JP"/>
        </w:rPr>
        <w:t xml:space="preserve"> session, Germany requested IMMA to consider applying the content in its proposed amendment for </w:t>
      </w:r>
      <w:r w:rsidRPr="00265150">
        <w:rPr>
          <w:color w:val="000000" w:themeColor="text1"/>
          <w:lang w:eastAsia="ja-JP"/>
        </w:rPr>
        <w:lastRenderedPageBreak/>
        <w:t>UN Regulations No. 116 and No. 161–163 (</w:t>
      </w:r>
      <w:r w:rsidR="003C429F">
        <w:rPr>
          <w:color w:val="000000" w:themeColor="text1"/>
          <w:lang w:eastAsia="ja-JP"/>
        </w:rPr>
        <w:t>ECE/TRANS/WP.29/</w:t>
      </w:r>
      <w:r w:rsidRPr="00265150">
        <w:rPr>
          <w:color w:val="000000" w:themeColor="text1"/>
          <w:lang w:eastAsia="ja-JP"/>
        </w:rPr>
        <w:t>GRSG/2024/9–</w:t>
      </w:r>
      <w:r w:rsidR="00413B18" w:rsidRPr="00413B18">
        <w:rPr>
          <w:color w:val="000000" w:themeColor="text1"/>
          <w:lang w:eastAsia="ja-JP"/>
        </w:rPr>
        <w:t xml:space="preserve"> </w:t>
      </w:r>
      <w:r w:rsidR="003C429F">
        <w:rPr>
          <w:color w:val="000000" w:themeColor="text1"/>
          <w:lang w:eastAsia="ja-JP"/>
        </w:rPr>
        <w:t>ECE/TRANS/WP,29/</w:t>
      </w:r>
      <w:r w:rsidR="00413B18" w:rsidRPr="00265150">
        <w:rPr>
          <w:color w:val="000000" w:themeColor="text1"/>
          <w:lang w:eastAsia="ja-JP"/>
        </w:rPr>
        <w:t>GRSG/2024/</w:t>
      </w:r>
      <w:r w:rsidRPr="00265150">
        <w:rPr>
          <w:color w:val="000000" w:themeColor="text1"/>
          <w:lang w:eastAsia="ja-JP"/>
        </w:rPr>
        <w:t xml:space="preserve">12) as reproduced below, which were later adopted by GRSG </w:t>
      </w:r>
      <w:r w:rsidR="00413B18">
        <w:rPr>
          <w:color w:val="000000" w:themeColor="text1"/>
          <w:lang w:eastAsia="ja-JP"/>
        </w:rPr>
        <w:t>at</w:t>
      </w:r>
      <w:r w:rsidRPr="00265150">
        <w:rPr>
          <w:color w:val="000000" w:themeColor="text1"/>
          <w:lang w:eastAsia="ja-JP"/>
        </w:rPr>
        <w:t xml:space="preserve"> the session. As discussed in the session, IMMA reflected the content in this formal proposal.</w:t>
      </w:r>
    </w:p>
    <w:p w14:paraId="2CCBD224" w14:textId="77777777" w:rsidR="0033402D" w:rsidRPr="00265150" w:rsidRDefault="0033402D" w:rsidP="003C429F">
      <w:pPr>
        <w:spacing w:after="120"/>
        <w:ind w:left="1701" w:right="1134"/>
        <w:jc w:val="both"/>
        <w:rPr>
          <w:i/>
          <w:iCs/>
          <w:color w:val="000000" w:themeColor="text1"/>
          <w:lang w:eastAsia="ja-JP"/>
        </w:rPr>
      </w:pPr>
      <w:r w:rsidRPr="00265150">
        <w:rPr>
          <w:i/>
          <w:iCs/>
          <w:color w:val="000000" w:themeColor="text1"/>
        </w:rPr>
        <w:t>UN Regulation No. 161</w:t>
      </w:r>
    </w:p>
    <w:p w14:paraId="224975AA" w14:textId="77777777" w:rsidR="0033402D" w:rsidRPr="00265150" w:rsidRDefault="0033402D" w:rsidP="003C429F">
      <w:pPr>
        <w:spacing w:after="120"/>
        <w:ind w:left="1701" w:right="1134"/>
        <w:jc w:val="both"/>
        <w:rPr>
          <w:i/>
          <w:iCs/>
          <w:color w:val="000000" w:themeColor="text1"/>
          <w:lang w:eastAsia="ja-JP"/>
        </w:rPr>
      </w:pPr>
      <w:r w:rsidRPr="00265150">
        <w:rPr>
          <w:i/>
          <w:iCs/>
          <w:color w:val="000000" w:themeColor="text1"/>
          <w:lang w:eastAsia="ja-JP"/>
        </w:rPr>
        <w:t>Annex 9</w:t>
      </w:r>
    </w:p>
    <w:p w14:paraId="7733B247" w14:textId="59F113F5" w:rsidR="0033402D" w:rsidRPr="00265150" w:rsidRDefault="0033402D" w:rsidP="003C429F">
      <w:pPr>
        <w:spacing w:before="240"/>
        <w:ind w:left="2268" w:right="1134" w:hanging="567"/>
        <w:jc w:val="both"/>
        <w:rPr>
          <w:i/>
          <w:iCs/>
          <w:color w:val="000000" w:themeColor="text1"/>
        </w:rPr>
      </w:pPr>
      <w:r w:rsidRPr="00265150">
        <w:rPr>
          <w:i/>
          <w:iCs/>
          <w:color w:val="000000" w:themeColor="text1"/>
        </w:rPr>
        <w:t xml:space="preserve">5. </w:t>
      </w:r>
      <w:r w:rsidRPr="00265150">
        <w:rPr>
          <w:i/>
          <w:iCs/>
          <w:color w:val="000000" w:themeColor="text1"/>
        </w:rPr>
        <w:tab/>
        <w:t xml:space="preserve">The effectiveness of the system shall not be adversely affected by cyber-attacks, cyber threats and vulnerabilities. The effectiveness of the security measures shall be demonstrated by </w:t>
      </w:r>
      <w:r w:rsidRPr="00265150">
        <w:rPr>
          <w:i/>
          <w:iCs/>
          <w:strike/>
          <w:color w:val="000000" w:themeColor="text1"/>
        </w:rPr>
        <w:t>compliance with</w:t>
      </w:r>
      <w:r w:rsidRPr="00265150">
        <w:rPr>
          <w:i/>
          <w:iCs/>
          <w:color w:val="000000" w:themeColor="text1"/>
        </w:rPr>
        <w:t xml:space="preserve"> </w:t>
      </w:r>
      <w:r w:rsidRPr="00265150">
        <w:rPr>
          <w:b/>
          <w:bCs/>
          <w:i/>
          <w:iCs/>
          <w:color w:val="000000" w:themeColor="text1"/>
        </w:rPr>
        <w:t xml:space="preserve">fulfilling the technical requirements of </w:t>
      </w:r>
      <w:r w:rsidRPr="00265150">
        <w:rPr>
          <w:i/>
          <w:iCs/>
          <w:color w:val="000000" w:themeColor="text1"/>
        </w:rPr>
        <w:t>UN Regulation No. 155.</w:t>
      </w:r>
    </w:p>
    <w:p w14:paraId="2D7D7679" w14:textId="77777777" w:rsidR="00F979B4" w:rsidRDefault="00F979B4" w:rsidP="00F979B4">
      <w:pPr>
        <w:spacing w:after="120"/>
        <w:ind w:left="1134" w:right="1134"/>
        <w:jc w:val="both"/>
        <w:rPr>
          <w:color w:val="000000" w:themeColor="text1"/>
          <w:lang w:eastAsia="ja-JP"/>
        </w:rPr>
      </w:pPr>
    </w:p>
    <w:p w14:paraId="154B3E7D" w14:textId="26F809AD" w:rsidR="0033402D" w:rsidRPr="00265150" w:rsidRDefault="0033402D" w:rsidP="003C429F">
      <w:pPr>
        <w:spacing w:after="120"/>
        <w:ind w:left="1134" w:right="1134"/>
        <w:jc w:val="both"/>
        <w:rPr>
          <w:color w:val="000000" w:themeColor="text1"/>
          <w:lang w:eastAsia="ja-JP"/>
        </w:rPr>
      </w:pPr>
      <w:r w:rsidRPr="00265150">
        <w:rPr>
          <w:color w:val="000000" w:themeColor="text1"/>
          <w:lang w:eastAsia="ja-JP"/>
        </w:rPr>
        <w:t>6.</w:t>
      </w:r>
      <w:r w:rsidRPr="00265150">
        <w:rPr>
          <w:color w:val="000000" w:themeColor="text1"/>
          <w:lang w:eastAsia="ja-JP"/>
        </w:rPr>
        <w:tab/>
      </w:r>
      <w:r w:rsidR="00413B18">
        <w:rPr>
          <w:color w:val="000000" w:themeColor="text1"/>
          <w:lang w:eastAsia="ja-JP"/>
        </w:rPr>
        <w:t xml:space="preserve">At </w:t>
      </w:r>
      <w:r w:rsidRPr="00265150">
        <w:rPr>
          <w:color w:val="000000" w:themeColor="text1"/>
          <w:lang w:eastAsia="ja-JP"/>
        </w:rPr>
        <w:t xml:space="preserve">the same session, the expert from the </w:t>
      </w:r>
      <w:r w:rsidR="00413B18">
        <w:rPr>
          <w:color w:val="000000" w:themeColor="text1"/>
          <w:lang w:eastAsia="ja-JP"/>
        </w:rPr>
        <w:t xml:space="preserve">Kingdom of the </w:t>
      </w:r>
      <w:r w:rsidRPr="00265150">
        <w:rPr>
          <w:color w:val="000000" w:themeColor="text1"/>
          <w:lang w:eastAsia="ja-JP"/>
        </w:rPr>
        <w:t xml:space="preserve">Netherlands and the expert from </w:t>
      </w:r>
      <w:r w:rsidR="00413B18">
        <w:rPr>
          <w:color w:val="000000" w:themeColor="text1"/>
          <w:lang w:eastAsia="ja-JP"/>
        </w:rPr>
        <w:t xml:space="preserve">the </w:t>
      </w:r>
      <w:r w:rsidRPr="00265150">
        <w:rPr>
          <w:color w:val="000000" w:themeColor="text1"/>
          <w:lang w:eastAsia="ja-JP"/>
        </w:rPr>
        <w:t xml:space="preserve">International Road Federation informally questioned IMMA </w:t>
      </w:r>
      <w:r w:rsidR="00413B18">
        <w:rPr>
          <w:color w:val="000000" w:themeColor="text1"/>
          <w:lang w:eastAsia="ja-JP"/>
        </w:rPr>
        <w:t xml:space="preserve">about </w:t>
      </w:r>
      <w:r w:rsidRPr="00265150">
        <w:rPr>
          <w:color w:val="000000" w:themeColor="text1"/>
          <w:lang w:eastAsia="ja-JP"/>
        </w:rPr>
        <w:t xml:space="preserve">the provision for the remote control defined in UN Regulation No. 79 </w:t>
      </w:r>
      <w:r w:rsidR="00413B18">
        <w:rPr>
          <w:color w:val="000000" w:themeColor="text1"/>
          <w:lang w:eastAsia="ja-JP"/>
        </w:rPr>
        <w:t xml:space="preserve">that </w:t>
      </w:r>
      <w:r w:rsidRPr="00265150">
        <w:rPr>
          <w:color w:val="000000" w:themeColor="text1"/>
          <w:lang w:eastAsia="ja-JP"/>
        </w:rPr>
        <w:t xml:space="preserve">would not </w:t>
      </w:r>
      <w:r w:rsidR="00413B18" w:rsidRPr="00265150">
        <w:rPr>
          <w:color w:val="000000" w:themeColor="text1"/>
          <w:lang w:eastAsia="ja-JP"/>
        </w:rPr>
        <w:t xml:space="preserve">yet </w:t>
      </w:r>
      <w:r w:rsidRPr="00265150">
        <w:rPr>
          <w:color w:val="000000" w:themeColor="text1"/>
          <w:lang w:eastAsia="ja-JP"/>
        </w:rPr>
        <w:t>be realistic for category L and suggested removing it. Considering the current technical status, IMMA agreed with the suggestion and removed the corresponding paragraph in this formal proposal.</w:t>
      </w:r>
    </w:p>
    <w:p w14:paraId="02A8FC15" w14:textId="77777777" w:rsidR="0033402D" w:rsidRPr="00265150" w:rsidRDefault="0033402D" w:rsidP="003C429F">
      <w:pPr>
        <w:spacing w:after="120"/>
        <w:ind w:left="1701" w:right="1134"/>
        <w:jc w:val="both"/>
        <w:rPr>
          <w:i/>
          <w:iCs/>
          <w:color w:val="000000" w:themeColor="text1"/>
          <w:lang w:eastAsia="ja-JP"/>
        </w:rPr>
      </w:pPr>
      <w:r w:rsidRPr="00265150">
        <w:rPr>
          <w:i/>
          <w:iCs/>
          <w:color w:val="000000" w:themeColor="text1"/>
        </w:rPr>
        <w:t>UN Regulation No. 161</w:t>
      </w:r>
    </w:p>
    <w:p w14:paraId="27DB6DB9" w14:textId="77777777" w:rsidR="0033402D" w:rsidRPr="00265150" w:rsidRDefault="0033402D" w:rsidP="003C429F">
      <w:pPr>
        <w:spacing w:after="120"/>
        <w:ind w:left="1701" w:right="1134"/>
        <w:jc w:val="both"/>
        <w:rPr>
          <w:i/>
          <w:iCs/>
          <w:color w:val="000000" w:themeColor="text1"/>
          <w:lang w:eastAsia="ja-JP"/>
        </w:rPr>
      </w:pPr>
      <w:r w:rsidRPr="00265150">
        <w:rPr>
          <w:i/>
          <w:iCs/>
          <w:color w:val="000000" w:themeColor="text1"/>
          <w:lang w:eastAsia="ja-JP"/>
        </w:rPr>
        <w:t>Annex 9</w:t>
      </w:r>
    </w:p>
    <w:p w14:paraId="280D1F9D" w14:textId="77777777" w:rsidR="0033402D" w:rsidRPr="00265150" w:rsidRDefault="0033402D" w:rsidP="003C429F">
      <w:pPr>
        <w:spacing w:before="240"/>
        <w:ind w:left="2268" w:right="1134" w:hanging="567"/>
        <w:jc w:val="both"/>
        <w:rPr>
          <w:bCs/>
          <w:i/>
          <w:iCs/>
          <w:strike/>
          <w:color w:val="000000" w:themeColor="text1"/>
        </w:rPr>
      </w:pPr>
      <w:r w:rsidRPr="00265150">
        <w:rPr>
          <w:bCs/>
          <w:i/>
          <w:iCs/>
          <w:strike/>
          <w:color w:val="000000" w:themeColor="text1"/>
        </w:rPr>
        <w:t>4.3.2.</w:t>
      </w:r>
      <w:r w:rsidRPr="00265150">
        <w:rPr>
          <w:bCs/>
          <w:i/>
          <w:iCs/>
          <w:strike/>
          <w:color w:val="000000" w:themeColor="text1"/>
        </w:rPr>
        <w:tab/>
        <w:t>The requirements in paragraph 4.3.1. shall not apply during a remote control manoeuvring and remote control parking as defined in UN Regulation No. 79.</w:t>
      </w:r>
    </w:p>
    <w:p w14:paraId="1A828681" w14:textId="77777777" w:rsidR="0033402D" w:rsidRPr="00265150" w:rsidRDefault="0033402D" w:rsidP="0033402D">
      <w:pPr>
        <w:spacing w:before="240"/>
        <w:ind w:rightChars="70" w:right="140"/>
        <w:jc w:val="center"/>
        <w:rPr>
          <w:color w:val="000000" w:themeColor="text1"/>
          <w:u w:val="single"/>
        </w:rPr>
      </w:pPr>
      <w:r w:rsidRPr="00265150">
        <w:rPr>
          <w:color w:val="000000" w:themeColor="text1"/>
          <w:u w:val="single"/>
        </w:rPr>
        <w:tab/>
      </w:r>
      <w:r w:rsidRPr="00265150">
        <w:rPr>
          <w:color w:val="000000" w:themeColor="text1"/>
          <w:u w:val="single"/>
        </w:rPr>
        <w:tab/>
      </w:r>
      <w:r w:rsidRPr="00265150">
        <w:rPr>
          <w:color w:val="000000" w:themeColor="text1"/>
          <w:u w:val="single"/>
        </w:rPr>
        <w:tab/>
      </w:r>
    </w:p>
    <w:p w14:paraId="1C6ECCBF" w14:textId="77777777" w:rsidR="0033402D" w:rsidRPr="00265150" w:rsidRDefault="0033402D" w:rsidP="0033402D">
      <w:pPr>
        <w:ind w:rightChars="70" w:right="140"/>
      </w:pPr>
    </w:p>
    <w:p w14:paraId="50D495CD" w14:textId="77777777" w:rsidR="001C6663" w:rsidRPr="00265150" w:rsidRDefault="001C6663" w:rsidP="00595520"/>
    <w:sectPr w:rsidR="001C6663" w:rsidRPr="00265150" w:rsidSect="0033402D">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E04C" w14:textId="77777777" w:rsidR="00507742" w:rsidRDefault="00507742"/>
  </w:endnote>
  <w:endnote w:type="continuationSeparator" w:id="0">
    <w:p w14:paraId="6E7FBA24" w14:textId="77777777" w:rsidR="00507742" w:rsidRDefault="00507742"/>
  </w:endnote>
  <w:endnote w:type="continuationNotice" w:id="1">
    <w:p w14:paraId="7E48AEF4" w14:textId="77777777" w:rsidR="00507742" w:rsidRDefault="00507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5AB" w14:textId="07CFB6D2" w:rsidR="0033402D" w:rsidRPr="0033402D" w:rsidRDefault="0033402D" w:rsidP="0033402D">
    <w:pPr>
      <w:pStyle w:val="Footer"/>
      <w:tabs>
        <w:tab w:val="right" w:pos="9638"/>
      </w:tabs>
      <w:rPr>
        <w:sz w:val="18"/>
      </w:rPr>
    </w:pPr>
    <w:r w:rsidRPr="0033402D">
      <w:rPr>
        <w:b/>
        <w:sz w:val="18"/>
      </w:rPr>
      <w:fldChar w:fldCharType="begin"/>
    </w:r>
    <w:r w:rsidRPr="0033402D">
      <w:rPr>
        <w:b/>
        <w:sz w:val="18"/>
      </w:rPr>
      <w:instrText xml:space="preserve"> PAGE  \* MERGEFORMAT </w:instrText>
    </w:r>
    <w:r w:rsidRPr="0033402D">
      <w:rPr>
        <w:b/>
        <w:sz w:val="18"/>
      </w:rPr>
      <w:fldChar w:fldCharType="separate"/>
    </w:r>
    <w:r w:rsidRPr="0033402D">
      <w:rPr>
        <w:b/>
        <w:noProof/>
        <w:sz w:val="18"/>
      </w:rPr>
      <w:t>2</w:t>
    </w:r>
    <w:r w:rsidRPr="0033402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666E" w14:textId="7E2357B3" w:rsidR="0033402D" w:rsidRPr="0033402D" w:rsidRDefault="0033402D" w:rsidP="0033402D">
    <w:pPr>
      <w:pStyle w:val="Footer"/>
      <w:tabs>
        <w:tab w:val="right" w:pos="9638"/>
      </w:tabs>
      <w:rPr>
        <w:b/>
        <w:sz w:val="18"/>
      </w:rPr>
    </w:pPr>
    <w:r>
      <w:tab/>
    </w:r>
    <w:r w:rsidRPr="0033402D">
      <w:rPr>
        <w:b/>
        <w:sz w:val="18"/>
      </w:rPr>
      <w:fldChar w:fldCharType="begin"/>
    </w:r>
    <w:r w:rsidRPr="0033402D">
      <w:rPr>
        <w:b/>
        <w:sz w:val="18"/>
      </w:rPr>
      <w:instrText xml:space="preserve"> PAGE  \* MERGEFORMAT </w:instrText>
    </w:r>
    <w:r w:rsidRPr="0033402D">
      <w:rPr>
        <w:b/>
        <w:sz w:val="18"/>
      </w:rPr>
      <w:fldChar w:fldCharType="separate"/>
    </w:r>
    <w:r w:rsidRPr="0033402D">
      <w:rPr>
        <w:b/>
        <w:noProof/>
        <w:sz w:val="18"/>
      </w:rPr>
      <w:t>3</w:t>
    </w:r>
    <w:r w:rsidRPr="0033402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8F6A" w14:textId="77777777" w:rsidR="00507742" w:rsidRPr="000B175B" w:rsidRDefault="00507742" w:rsidP="000B175B">
      <w:pPr>
        <w:tabs>
          <w:tab w:val="right" w:pos="2155"/>
        </w:tabs>
        <w:spacing w:after="80"/>
        <w:ind w:left="680"/>
        <w:rPr>
          <w:u w:val="single"/>
        </w:rPr>
      </w:pPr>
      <w:r>
        <w:rPr>
          <w:u w:val="single"/>
        </w:rPr>
        <w:tab/>
      </w:r>
    </w:p>
  </w:footnote>
  <w:footnote w:type="continuationSeparator" w:id="0">
    <w:p w14:paraId="0F1C2D0A" w14:textId="77777777" w:rsidR="00507742" w:rsidRPr="00FC68B7" w:rsidRDefault="00507742" w:rsidP="00FC68B7">
      <w:pPr>
        <w:tabs>
          <w:tab w:val="left" w:pos="2155"/>
        </w:tabs>
        <w:spacing w:after="80"/>
        <w:ind w:left="680"/>
        <w:rPr>
          <w:u w:val="single"/>
        </w:rPr>
      </w:pPr>
      <w:r>
        <w:rPr>
          <w:u w:val="single"/>
        </w:rPr>
        <w:tab/>
      </w:r>
    </w:p>
  </w:footnote>
  <w:footnote w:type="continuationNotice" w:id="1">
    <w:p w14:paraId="4A5D063D" w14:textId="77777777" w:rsidR="00507742" w:rsidRDefault="00507742"/>
  </w:footnote>
  <w:footnote w:id="2">
    <w:p w14:paraId="61B1729B" w14:textId="1497ED92" w:rsidR="0033402D" w:rsidRPr="00EA370C" w:rsidRDefault="0033402D" w:rsidP="0033402D">
      <w:pPr>
        <w:pStyle w:val="FootnoteText"/>
        <w:jc w:val="both"/>
        <w:rPr>
          <w:lang w:val="en-US"/>
        </w:rPr>
      </w:pPr>
      <w:r>
        <w:tab/>
      </w:r>
      <w:r w:rsidRPr="00EA370C">
        <w:rPr>
          <w:rStyle w:val="FootnoteReference"/>
          <w:sz w:val="20"/>
          <w:lang w:val="en-US"/>
        </w:rPr>
        <w:t>*</w:t>
      </w:r>
      <w:r w:rsidRPr="00EA370C">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3214" w14:textId="55C6E6B2" w:rsidR="0033402D" w:rsidRPr="0033402D" w:rsidRDefault="00AB349F">
    <w:pPr>
      <w:pStyle w:val="Header"/>
    </w:pPr>
    <w:fldSimple w:instr=" TITLE  \* MERGEFORMAT ">
      <w:r w:rsidR="00D80FEB">
        <w:t>ECE/TRANS/WP.29/GRSG/2025/2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7EB8" w14:textId="21108DC5" w:rsidR="0033402D" w:rsidRPr="0033402D" w:rsidRDefault="00AB349F" w:rsidP="0033402D">
    <w:pPr>
      <w:pStyle w:val="Header"/>
      <w:jc w:val="right"/>
    </w:pPr>
    <w:fldSimple w:instr=" TITLE  \* MERGEFORMAT ">
      <w:r w:rsidR="00D80FEB">
        <w:t>ECE/TRANS/WP.29/GRSG/2025/2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DA265B"/>
    <w:multiLevelType w:val="hybridMultilevel"/>
    <w:tmpl w:val="6B68D842"/>
    <w:lvl w:ilvl="0" w:tplc="1D9E9DD4">
      <w:start w:val="1"/>
      <w:numFmt w:val="decimal"/>
      <w:lvlText w:val="%1)"/>
      <w:lvlJc w:val="left"/>
      <w:pPr>
        <w:ind w:left="1080" w:hanging="360"/>
      </w:pPr>
    </w:lvl>
    <w:lvl w:ilvl="1" w:tplc="474EE49A">
      <w:start w:val="1"/>
      <w:numFmt w:val="decimal"/>
      <w:lvlText w:val="%2)"/>
      <w:lvlJc w:val="left"/>
      <w:pPr>
        <w:ind w:left="1080" w:hanging="360"/>
      </w:pPr>
    </w:lvl>
    <w:lvl w:ilvl="2" w:tplc="6CD8FA86">
      <w:start w:val="1"/>
      <w:numFmt w:val="decimal"/>
      <w:lvlText w:val="%3)"/>
      <w:lvlJc w:val="left"/>
      <w:pPr>
        <w:ind w:left="1080" w:hanging="360"/>
      </w:pPr>
    </w:lvl>
    <w:lvl w:ilvl="3" w:tplc="75689B76">
      <w:start w:val="1"/>
      <w:numFmt w:val="decimal"/>
      <w:lvlText w:val="%4)"/>
      <w:lvlJc w:val="left"/>
      <w:pPr>
        <w:ind w:left="1080" w:hanging="360"/>
      </w:pPr>
    </w:lvl>
    <w:lvl w:ilvl="4" w:tplc="6FCC5160">
      <w:start w:val="1"/>
      <w:numFmt w:val="decimal"/>
      <w:lvlText w:val="%5)"/>
      <w:lvlJc w:val="left"/>
      <w:pPr>
        <w:ind w:left="1080" w:hanging="360"/>
      </w:pPr>
    </w:lvl>
    <w:lvl w:ilvl="5" w:tplc="46F820AE">
      <w:start w:val="1"/>
      <w:numFmt w:val="decimal"/>
      <w:lvlText w:val="%6)"/>
      <w:lvlJc w:val="left"/>
      <w:pPr>
        <w:ind w:left="1080" w:hanging="360"/>
      </w:pPr>
    </w:lvl>
    <w:lvl w:ilvl="6" w:tplc="3BF46B14">
      <w:start w:val="1"/>
      <w:numFmt w:val="decimal"/>
      <w:lvlText w:val="%7)"/>
      <w:lvlJc w:val="left"/>
      <w:pPr>
        <w:ind w:left="1080" w:hanging="360"/>
      </w:pPr>
    </w:lvl>
    <w:lvl w:ilvl="7" w:tplc="379E3A8A">
      <w:start w:val="1"/>
      <w:numFmt w:val="decimal"/>
      <w:lvlText w:val="%8)"/>
      <w:lvlJc w:val="left"/>
      <w:pPr>
        <w:ind w:left="1080" w:hanging="360"/>
      </w:pPr>
    </w:lvl>
    <w:lvl w:ilvl="8" w:tplc="54525418">
      <w:start w:val="1"/>
      <w:numFmt w:val="decimal"/>
      <w:lvlText w:val="%9)"/>
      <w:lvlJc w:val="left"/>
      <w:pPr>
        <w:ind w:left="1080" w:hanging="36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4E53B5"/>
    <w:multiLevelType w:val="hybridMultilevel"/>
    <w:tmpl w:val="3D22C634"/>
    <w:lvl w:ilvl="0" w:tplc="6A70AB36">
      <w:start w:val="1"/>
      <w:numFmt w:val="decimal"/>
      <w:lvlText w:val="%1)"/>
      <w:lvlJc w:val="left"/>
      <w:pPr>
        <w:ind w:left="1080" w:hanging="360"/>
      </w:pPr>
    </w:lvl>
    <w:lvl w:ilvl="1" w:tplc="E60AA206">
      <w:start w:val="1"/>
      <w:numFmt w:val="decimal"/>
      <w:lvlText w:val="%2)"/>
      <w:lvlJc w:val="left"/>
      <w:pPr>
        <w:ind w:left="1080" w:hanging="360"/>
      </w:pPr>
    </w:lvl>
    <w:lvl w:ilvl="2" w:tplc="2708CBEE">
      <w:start w:val="1"/>
      <w:numFmt w:val="decimal"/>
      <w:lvlText w:val="%3)"/>
      <w:lvlJc w:val="left"/>
      <w:pPr>
        <w:ind w:left="1080" w:hanging="360"/>
      </w:pPr>
    </w:lvl>
    <w:lvl w:ilvl="3" w:tplc="E424F702">
      <w:start w:val="1"/>
      <w:numFmt w:val="decimal"/>
      <w:lvlText w:val="%4)"/>
      <w:lvlJc w:val="left"/>
      <w:pPr>
        <w:ind w:left="1080" w:hanging="360"/>
      </w:pPr>
    </w:lvl>
    <w:lvl w:ilvl="4" w:tplc="9F482E02">
      <w:start w:val="1"/>
      <w:numFmt w:val="decimal"/>
      <w:lvlText w:val="%5)"/>
      <w:lvlJc w:val="left"/>
      <w:pPr>
        <w:ind w:left="1080" w:hanging="360"/>
      </w:pPr>
    </w:lvl>
    <w:lvl w:ilvl="5" w:tplc="90C0A2EA">
      <w:start w:val="1"/>
      <w:numFmt w:val="decimal"/>
      <w:lvlText w:val="%6)"/>
      <w:lvlJc w:val="left"/>
      <w:pPr>
        <w:ind w:left="1080" w:hanging="360"/>
      </w:pPr>
    </w:lvl>
    <w:lvl w:ilvl="6" w:tplc="8EA83EB0">
      <w:start w:val="1"/>
      <w:numFmt w:val="decimal"/>
      <w:lvlText w:val="%7)"/>
      <w:lvlJc w:val="left"/>
      <w:pPr>
        <w:ind w:left="1080" w:hanging="360"/>
      </w:pPr>
    </w:lvl>
    <w:lvl w:ilvl="7" w:tplc="6A0A9D24">
      <w:start w:val="1"/>
      <w:numFmt w:val="decimal"/>
      <w:lvlText w:val="%8)"/>
      <w:lvlJc w:val="left"/>
      <w:pPr>
        <w:ind w:left="1080" w:hanging="360"/>
      </w:pPr>
    </w:lvl>
    <w:lvl w:ilvl="8" w:tplc="D3B2CCDE">
      <w:start w:val="1"/>
      <w:numFmt w:val="decimal"/>
      <w:lvlText w:val="%9)"/>
      <w:lvlJc w:val="left"/>
      <w:pPr>
        <w:ind w:left="1080" w:hanging="36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83E79"/>
    <w:multiLevelType w:val="hybridMultilevel"/>
    <w:tmpl w:val="EBCEC736"/>
    <w:lvl w:ilvl="0" w:tplc="4E42C9D0">
      <w:start w:val="1"/>
      <w:numFmt w:val="decimal"/>
      <w:lvlText w:val="%1."/>
      <w:lvlJc w:val="left"/>
      <w:pPr>
        <w:ind w:left="1710" w:hanging="576"/>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C876B4"/>
    <w:multiLevelType w:val="hybridMultilevel"/>
    <w:tmpl w:val="9BD4BEBC"/>
    <w:lvl w:ilvl="0" w:tplc="0409000B">
      <w:start w:val="1"/>
      <w:numFmt w:val="bullet"/>
      <w:lvlText w:val=""/>
      <w:lvlJc w:val="left"/>
      <w:pPr>
        <w:ind w:left="2121" w:hanging="420"/>
      </w:pPr>
      <w:rPr>
        <w:rFonts w:ascii="Wingdings" w:hAnsi="Wingdings" w:hint="default"/>
      </w:rPr>
    </w:lvl>
    <w:lvl w:ilvl="1" w:tplc="FFFFFFFF">
      <w:start w:val="1"/>
      <w:numFmt w:val="bullet"/>
      <w:lvlText w:val=""/>
      <w:lvlJc w:val="left"/>
      <w:pPr>
        <w:ind w:left="2541" w:hanging="420"/>
      </w:pPr>
      <w:rPr>
        <w:rFonts w:ascii="Wingdings" w:hAnsi="Wingdings" w:hint="default"/>
      </w:rPr>
    </w:lvl>
    <w:lvl w:ilvl="2" w:tplc="FFFFFFFF">
      <w:start w:val="1"/>
      <w:numFmt w:val="bullet"/>
      <w:lvlText w:val=""/>
      <w:lvlJc w:val="left"/>
      <w:pPr>
        <w:ind w:left="2961" w:hanging="420"/>
      </w:pPr>
      <w:rPr>
        <w:rFonts w:ascii="Wingdings" w:hAnsi="Wingdings" w:hint="default"/>
      </w:rPr>
    </w:lvl>
    <w:lvl w:ilvl="3" w:tplc="FFFFFFFF">
      <w:start w:val="1"/>
      <w:numFmt w:val="bullet"/>
      <w:lvlText w:val=""/>
      <w:lvlJc w:val="left"/>
      <w:pPr>
        <w:ind w:left="3381" w:hanging="420"/>
      </w:pPr>
      <w:rPr>
        <w:rFonts w:ascii="Wingdings" w:hAnsi="Wingdings" w:hint="default"/>
      </w:rPr>
    </w:lvl>
    <w:lvl w:ilvl="4" w:tplc="FFFFFFFF">
      <w:start w:val="1"/>
      <w:numFmt w:val="bullet"/>
      <w:lvlText w:val=""/>
      <w:lvlJc w:val="left"/>
      <w:pPr>
        <w:ind w:left="3801" w:hanging="420"/>
      </w:pPr>
      <w:rPr>
        <w:rFonts w:ascii="Wingdings" w:hAnsi="Wingdings" w:hint="default"/>
      </w:rPr>
    </w:lvl>
    <w:lvl w:ilvl="5" w:tplc="FFFFFFFF">
      <w:start w:val="1"/>
      <w:numFmt w:val="bullet"/>
      <w:lvlText w:val=""/>
      <w:lvlJc w:val="left"/>
      <w:pPr>
        <w:ind w:left="4221" w:hanging="420"/>
      </w:pPr>
      <w:rPr>
        <w:rFonts w:ascii="Wingdings" w:hAnsi="Wingdings" w:hint="default"/>
      </w:rPr>
    </w:lvl>
    <w:lvl w:ilvl="6" w:tplc="FFFFFFFF">
      <w:start w:val="1"/>
      <w:numFmt w:val="bullet"/>
      <w:lvlText w:val=""/>
      <w:lvlJc w:val="left"/>
      <w:pPr>
        <w:ind w:left="4641" w:hanging="420"/>
      </w:pPr>
      <w:rPr>
        <w:rFonts w:ascii="Wingdings" w:hAnsi="Wingdings" w:hint="default"/>
      </w:rPr>
    </w:lvl>
    <w:lvl w:ilvl="7" w:tplc="FFFFFFFF">
      <w:start w:val="1"/>
      <w:numFmt w:val="bullet"/>
      <w:lvlText w:val=""/>
      <w:lvlJc w:val="left"/>
      <w:pPr>
        <w:ind w:left="5061" w:hanging="420"/>
      </w:pPr>
      <w:rPr>
        <w:rFonts w:ascii="Wingdings" w:hAnsi="Wingdings" w:hint="default"/>
      </w:rPr>
    </w:lvl>
    <w:lvl w:ilvl="8" w:tplc="FFFFFFFF">
      <w:start w:val="1"/>
      <w:numFmt w:val="bullet"/>
      <w:lvlText w:val=""/>
      <w:lvlJc w:val="left"/>
      <w:pPr>
        <w:ind w:left="5481" w:hanging="420"/>
      </w:pPr>
      <w:rPr>
        <w:rFonts w:ascii="Wingdings" w:hAnsi="Wingdings" w:hint="default"/>
      </w:r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7409737">
    <w:abstractNumId w:val="1"/>
  </w:num>
  <w:num w:numId="2" w16cid:durableId="6446100">
    <w:abstractNumId w:val="0"/>
  </w:num>
  <w:num w:numId="3" w16cid:durableId="1110396855">
    <w:abstractNumId w:val="2"/>
  </w:num>
  <w:num w:numId="4" w16cid:durableId="130876390">
    <w:abstractNumId w:val="3"/>
  </w:num>
  <w:num w:numId="5" w16cid:durableId="1461151957">
    <w:abstractNumId w:val="8"/>
  </w:num>
  <w:num w:numId="6" w16cid:durableId="426510471">
    <w:abstractNumId w:val="9"/>
  </w:num>
  <w:num w:numId="7" w16cid:durableId="1432824155">
    <w:abstractNumId w:val="7"/>
  </w:num>
  <w:num w:numId="8" w16cid:durableId="678850634">
    <w:abstractNumId w:val="6"/>
  </w:num>
  <w:num w:numId="9" w16cid:durableId="780878229">
    <w:abstractNumId w:val="5"/>
  </w:num>
  <w:num w:numId="10" w16cid:durableId="1216505894">
    <w:abstractNumId w:val="4"/>
  </w:num>
  <w:num w:numId="11" w16cid:durableId="546842564">
    <w:abstractNumId w:val="17"/>
  </w:num>
  <w:num w:numId="12" w16cid:durableId="982738639">
    <w:abstractNumId w:val="15"/>
  </w:num>
  <w:num w:numId="13" w16cid:durableId="1246769750">
    <w:abstractNumId w:val="10"/>
  </w:num>
  <w:num w:numId="14" w16cid:durableId="1887257265">
    <w:abstractNumId w:val="13"/>
  </w:num>
  <w:num w:numId="15" w16cid:durableId="1841774345">
    <w:abstractNumId w:val="19"/>
  </w:num>
  <w:num w:numId="16" w16cid:durableId="273027093">
    <w:abstractNumId w:val="14"/>
  </w:num>
  <w:num w:numId="17" w16cid:durableId="140461840">
    <w:abstractNumId w:val="21"/>
  </w:num>
  <w:num w:numId="18" w16cid:durableId="715618488">
    <w:abstractNumId w:val="22"/>
  </w:num>
  <w:num w:numId="19" w16cid:durableId="1477336245">
    <w:abstractNumId w:val="12"/>
  </w:num>
  <w:num w:numId="20" w16cid:durableId="965087137">
    <w:abstractNumId w:val="20"/>
  </w:num>
  <w:num w:numId="21" w16cid:durableId="1472020871">
    <w:abstractNumId w:val="18"/>
  </w:num>
  <w:num w:numId="22" w16cid:durableId="1891846942">
    <w:abstractNumId w:val="16"/>
  </w:num>
  <w:num w:numId="23" w16cid:durableId="119153407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2D"/>
    <w:rsid w:val="00002A7D"/>
    <w:rsid w:val="000038A8"/>
    <w:rsid w:val="00005DF3"/>
    <w:rsid w:val="00006790"/>
    <w:rsid w:val="000220CC"/>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65150"/>
    <w:rsid w:val="0027237A"/>
    <w:rsid w:val="002974E9"/>
    <w:rsid w:val="002A306B"/>
    <w:rsid w:val="002A7F94"/>
    <w:rsid w:val="002B109A"/>
    <w:rsid w:val="002C6D45"/>
    <w:rsid w:val="002D6E53"/>
    <w:rsid w:val="002E17F6"/>
    <w:rsid w:val="002F046D"/>
    <w:rsid w:val="002F3023"/>
    <w:rsid w:val="00301764"/>
    <w:rsid w:val="003229D8"/>
    <w:rsid w:val="0033402D"/>
    <w:rsid w:val="00336C97"/>
    <w:rsid w:val="00337F88"/>
    <w:rsid w:val="00342432"/>
    <w:rsid w:val="0035223F"/>
    <w:rsid w:val="00352D4B"/>
    <w:rsid w:val="0035638C"/>
    <w:rsid w:val="003A46BB"/>
    <w:rsid w:val="003A4EC7"/>
    <w:rsid w:val="003A7295"/>
    <w:rsid w:val="003B1F60"/>
    <w:rsid w:val="003C2CC4"/>
    <w:rsid w:val="003C429F"/>
    <w:rsid w:val="003D4B23"/>
    <w:rsid w:val="003E278A"/>
    <w:rsid w:val="00413520"/>
    <w:rsid w:val="00413B18"/>
    <w:rsid w:val="004325CB"/>
    <w:rsid w:val="004335A8"/>
    <w:rsid w:val="00440A07"/>
    <w:rsid w:val="00462880"/>
    <w:rsid w:val="00476F24"/>
    <w:rsid w:val="004A5D33"/>
    <w:rsid w:val="004C55B0"/>
    <w:rsid w:val="004F6BA0"/>
    <w:rsid w:val="00503BEA"/>
    <w:rsid w:val="00507742"/>
    <w:rsid w:val="00533616"/>
    <w:rsid w:val="00535ABA"/>
    <w:rsid w:val="0053768B"/>
    <w:rsid w:val="005420F2"/>
    <w:rsid w:val="0054285C"/>
    <w:rsid w:val="00572C2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2694"/>
    <w:rsid w:val="006770B2"/>
    <w:rsid w:val="00686A48"/>
    <w:rsid w:val="0068763C"/>
    <w:rsid w:val="006940E1"/>
    <w:rsid w:val="006A3C72"/>
    <w:rsid w:val="006A7392"/>
    <w:rsid w:val="006B03A1"/>
    <w:rsid w:val="006B67D9"/>
    <w:rsid w:val="006C2C28"/>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75EAD"/>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428FE"/>
    <w:rsid w:val="00A72F22"/>
    <w:rsid w:val="00A733BC"/>
    <w:rsid w:val="00A748A6"/>
    <w:rsid w:val="00A76A69"/>
    <w:rsid w:val="00A879A4"/>
    <w:rsid w:val="00A95D7F"/>
    <w:rsid w:val="00AA0FF8"/>
    <w:rsid w:val="00AB349F"/>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A6406"/>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02F36"/>
    <w:rsid w:val="00D15B04"/>
    <w:rsid w:val="00D2031B"/>
    <w:rsid w:val="00D2235D"/>
    <w:rsid w:val="00D25FE2"/>
    <w:rsid w:val="00D37DA9"/>
    <w:rsid w:val="00D406A7"/>
    <w:rsid w:val="00D41AE9"/>
    <w:rsid w:val="00D43252"/>
    <w:rsid w:val="00D44D86"/>
    <w:rsid w:val="00D50B7D"/>
    <w:rsid w:val="00D52012"/>
    <w:rsid w:val="00D704E5"/>
    <w:rsid w:val="00D72727"/>
    <w:rsid w:val="00D80FEB"/>
    <w:rsid w:val="00D978C6"/>
    <w:rsid w:val="00DA0956"/>
    <w:rsid w:val="00DA357F"/>
    <w:rsid w:val="00DA3E12"/>
    <w:rsid w:val="00DC18AD"/>
    <w:rsid w:val="00DF7CAE"/>
    <w:rsid w:val="00E40FB3"/>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87855"/>
    <w:rsid w:val="00F91B2B"/>
    <w:rsid w:val="00F979B4"/>
    <w:rsid w:val="00FB05C7"/>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FE4E"/>
  <w15:docId w15:val="{24FE4128-FA5E-49D6-A790-18DE9560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33402D"/>
    <w:rPr>
      <w:lang w:val="en-GB"/>
    </w:rPr>
  </w:style>
  <w:style w:type="character" w:customStyle="1" w:styleId="HChGChar">
    <w:name w:val="_ H _Ch_G Char"/>
    <w:link w:val="HChG"/>
    <w:qFormat/>
    <w:rsid w:val="0033402D"/>
    <w:rPr>
      <w:b/>
      <w:sz w:val="28"/>
      <w:lang w:val="en-GB"/>
    </w:rPr>
  </w:style>
  <w:style w:type="character" w:customStyle="1" w:styleId="H1GChar">
    <w:name w:val="_ H_1_G Char"/>
    <w:link w:val="H1G"/>
    <w:locked/>
    <w:rsid w:val="0033402D"/>
    <w:rPr>
      <w:b/>
      <w:sz w:val="24"/>
      <w:lang w:val="en-GB"/>
    </w:rPr>
  </w:style>
  <w:style w:type="paragraph" w:styleId="ListParagraph">
    <w:name w:val="List Paragraph"/>
    <w:basedOn w:val="Normal"/>
    <w:uiPriority w:val="34"/>
    <w:qFormat/>
    <w:rsid w:val="0033402D"/>
    <w:pPr>
      <w:suppressAutoHyphens/>
      <w:ind w:left="720"/>
      <w:contextualSpacing/>
    </w:pPr>
    <w:rPr>
      <w:rFonts w:eastAsia="MS Mincho"/>
    </w:rPr>
  </w:style>
  <w:style w:type="paragraph" w:styleId="Revision">
    <w:name w:val="Revision"/>
    <w:hidden/>
    <w:uiPriority w:val="99"/>
    <w:semiHidden/>
    <w:rsid w:val="00265150"/>
    <w:pPr>
      <w:spacing w:line="240" w:lineRule="auto"/>
    </w:pPr>
    <w:rPr>
      <w:lang w:val="en-GB"/>
    </w:rPr>
  </w:style>
  <w:style w:type="character" w:styleId="CommentReference">
    <w:name w:val="annotation reference"/>
    <w:basedOn w:val="DefaultParagraphFont"/>
    <w:semiHidden/>
    <w:unhideWhenUsed/>
    <w:rsid w:val="00265150"/>
    <w:rPr>
      <w:sz w:val="16"/>
      <w:szCs w:val="16"/>
    </w:rPr>
  </w:style>
  <w:style w:type="paragraph" w:styleId="CommentText">
    <w:name w:val="annotation text"/>
    <w:basedOn w:val="Normal"/>
    <w:link w:val="CommentTextChar"/>
    <w:unhideWhenUsed/>
    <w:rsid w:val="00265150"/>
    <w:pPr>
      <w:spacing w:line="240" w:lineRule="auto"/>
    </w:pPr>
  </w:style>
  <w:style w:type="character" w:customStyle="1" w:styleId="CommentTextChar">
    <w:name w:val="Comment Text Char"/>
    <w:basedOn w:val="DefaultParagraphFont"/>
    <w:link w:val="CommentText"/>
    <w:rsid w:val="00265150"/>
    <w:rPr>
      <w:lang w:val="en-GB"/>
    </w:rPr>
  </w:style>
  <w:style w:type="paragraph" w:styleId="CommentSubject">
    <w:name w:val="annotation subject"/>
    <w:basedOn w:val="CommentText"/>
    <w:next w:val="CommentText"/>
    <w:link w:val="CommentSubjectChar"/>
    <w:semiHidden/>
    <w:unhideWhenUsed/>
    <w:rsid w:val="00265150"/>
    <w:rPr>
      <w:b/>
      <w:bCs/>
    </w:rPr>
  </w:style>
  <w:style w:type="character" w:customStyle="1" w:styleId="CommentSubjectChar">
    <w:name w:val="Comment Subject Char"/>
    <w:basedOn w:val="CommentTextChar"/>
    <w:link w:val="CommentSubject"/>
    <w:semiHidden/>
    <w:rsid w:val="0026515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4b4a1c0d-4a69-4996-a84a-fc699b9f49de"/>
    <ds:schemaRef ds:uri="http://schemas.openxmlformats.org/package/2006/metadata/core-properties"/>
    <ds:schemaRef ds:uri="985ec44e-1bab-4c0b-9df0-6ba128686fc9"/>
    <ds:schemaRef ds:uri="acccb6d4-dbe5-46d2-b4d3-5733603d8cc6"/>
    <ds:schemaRef ds:uri="http://www.w3.org/XML/1998/namespace"/>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4D5EC9F-33D4-4104-9810-A555F89FC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TotalTime>
  <Pages>5</Pages>
  <Words>1662</Words>
  <Characters>9476</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ECE/TRANS/WP.29/GRSG/2025/2</vt:lpstr>
      <vt:lpstr/>
    </vt:vector>
  </TitlesOfParts>
  <Company>CSD</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ECE/TRANS/WP.29/GRSG/2025/2</dc:title>
  <dc:creator>Edoardo Gianotti</dc:creator>
  <cp:lastModifiedBy>Benedicte Boudol</cp:lastModifiedBy>
  <cp:revision>3</cp:revision>
  <cp:lastPrinted>2025-01-24T14:28:00Z</cp:lastPrinted>
  <dcterms:created xsi:type="dcterms:W3CDTF">2025-01-24T14:18:00Z</dcterms:created>
  <dcterms:modified xsi:type="dcterms:W3CDTF">2025-01-24T14:28:00Z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